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ind w:left="-180"/>
        <w:rPr>
          <w:sz w:val="22"/>
          <w:szCs w:val="22"/>
        </w:rPr>
      </w:pPr>
      <w:hyperlink r:id="rId5" w:tgtFrame="_top" w:history="1">
        <w:r>
          <w:rPr>
            <w:rStyle w:val="Hiperveza"/>
            <w:sz w:val="22"/>
            <w:szCs w:val="22"/>
          </w:rPr>
          <w:t xml:space="preserve">                               </w:t>
        </w:r>
        <w:r>
          <w:rPr>
            <w:noProof/>
            <w:color w:val="0000CC"/>
            <w:sz w:val="22"/>
            <w:szCs w:val="22"/>
          </w:rPr>
          <w:drawing>
            <wp:inline distT="0" distB="0" distL="0" distR="0">
              <wp:extent cx="523875" cy="619125"/>
              <wp:effectExtent l="0" t="0" r="9525" b="9525"/>
              <wp:docPr id="2" name="Slika 2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6" r:link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ind w:left="-1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  <w:sz w:val="22"/>
          <w:szCs w:val="22"/>
        </w:rPr>
        <w:t xml:space="preserve">               </w:t>
      </w:r>
      <w:r>
        <w:rPr>
          <w:b/>
        </w:rPr>
        <w:t>REPUBLIKA HRVATSKA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</w:rPr>
        <w:t xml:space="preserve">       ŠIBENSKO-KNINSKA ŽUPANIJA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</w:rPr>
        <w:t xml:space="preserve">                     OPĆINA BILICE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</w:rPr>
        <w:t xml:space="preserve">                OPĆINSKO VIJEĆE</w:t>
      </w:r>
    </w:p>
    <w:p>
      <w:pPr>
        <w:tabs>
          <w:tab w:val="left" w:pos="8021"/>
        </w:tabs>
        <w:ind w:left="-180"/>
        <w:rPr>
          <w:b/>
        </w:rPr>
      </w:pPr>
      <w:r>
        <w:rPr>
          <w:b/>
        </w:rPr>
        <w:t xml:space="preserve">       </w:t>
      </w:r>
    </w:p>
    <w:p>
      <w:pPr>
        <w:rPr>
          <w:bCs/>
        </w:rPr>
      </w:pPr>
      <w:r>
        <w:rPr>
          <w:bCs/>
        </w:rPr>
        <w:t xml:space="preserve">   KLASA: 400-06/26-01/1</w:t>
      </w:r>
    </w:p>
    <w:p>
      <w:pPr>
        <w:rPr>
          <w:bCs/>
        </w:rPr>
      </w:pPr>
      <w:r>
        <w:rPr>
          <w:bCs/>
        </w:rPr>
        <w:t xml:space="preserve">   URBROJ: 2182-19-26-4</w:t>
      </w:r>
    </w:p>
    <w:p>
      <w:pPr>
        <w:rPr>
          <w:color w:val="FF0000"/>
        </w:rPr>
      </w:pPr>
      <w:r>
        <w:rPr>
          <w:bCs/>
        </w:rPr>
        <w:t xml:space="preserve">   Bilice, 16. lipanj 2026.</w:t>
      </w:r>
      <w:r>
        <w:t xml:space="preserve">   </w:t>
      </w: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</w:pPr>
    </w:p>
    <w:p>
      <w:pPr>
        <w:autoSpaceDN w:val="0"/>
        <w:ind w:firstLine="708"/>
        <w:jc w:val="both"/>
        <w:rPr>
          <w:b/>
        </w:rPr>
      </w:pPr>
      <w:r>
        <w:t>Na temelju članka 215. stavka 6. Pravilnika o proračunskom računovodstvu i računskom planu („Narodne novine“, broj 158/23 i 154/24) i članka 28. Statuta Općine Bilice («Službeni vjesnik Šibensko-kninske županije», broj 10/09, 5/13 i 8/13 i „Službenik glasnik Općine Bilice“, broj 3/18, 5/18, 1/21, 6/21 –pročišćeni tekst, 9/23 i 3/25) Općinsko vijeće Općine Bilice, na 8. sjednici, od 16. lipnja 2026. godine, donosi</w:t>
      </w:r>
    </w:p>
    <w:p>
      <w:pPr>
        <w:spacing w:after="160"/>
        <w:ind w:firstLine="708"/>
        <w:jc w:val="both"/>
        <w:rPr>
          <w:rFonts w:eastAsiaTheme="minorHAnsi"/>
          <w:lang w:eastAsia="en-US"/>
        </w:rPr>
      </w:pPr>
    </w:p>
    <w:p>
      <w:pPr>
        <w:autoSpaceDN w:val="0"/>
        <w:jc w:val="center"/>
        <w:rPr>
          <w:b/>
        </w:rPr>
      </w:pPr>
      <w:r>
        <w:rPr>
          <w:b/>
        </w:rPr>
        <w:t>ODLUKA</w:t>
      </w:r>
    </w:p>
    <w:p>
      <w:pPr>
        <w:autoSpaceDN w:val="0"/>
        <w:jc w:val="center"/>
        <w:rPr>
          <w:b/>
        </w:rPr>
      </w:pPr>
      <w:r>
        <w:rPr>
          <w:b/>
        </w:rPr>
        <w:t>o raspodjeli rezultata za 2025. godinu</w:t>
      </w:r>
    </w:p>
    <w:p>
      <w:pPr>
        <w:spacing w:after="160"/>
        <w:jc w:val="center"/>
        <w:rPr>
          <w:rFonts w:eastAsiaTheme="minorHAnsi"/>
          <w:b/>
          <w:lang w:eastAsia="en-US"/>
        </w:rPr>
      </w:pPr>
    </w:p>
    <w:p>
      <w:pPr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Članak 1</w:t>
      </w:r>
      <w:r>
        <w:rPr>
          <w:rFonts w:eastAsiaTheme="minorHAnsi"/>
          <w:lang w:eastAsia="en-US"/>
        </w:rPr>
        <w:t xml:space="preserve">. </w:t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Ovom Odlukom određuje se raspodjela poslovnog rezultata Proračuna Općine Bilice iz 2025. godine u sljedeću proračunsku godinu.</w:t>
      </w:r>
    </w:p>
    <w:p>
      <w:pPr>
        <w:rPr>
          <w:rFonts w:eastAsiaTheme="minorHAnsi"/>
          <w:lang w:eastAsia="en-US"/>
        </w:rPr>
      </w:pPr>
    </w:p>
    <w:p>
      <w:pPr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Članak 2</w:t>
      </w:r>
      <w:r>
        <w:rPr>
          <w:rFonts w:eastAsiaTheme="minorHAnsi"/>
          <w:lang w:eastAsia="en-US"/>
        </w:rPr>
        <w:t>.</w:t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 xml:space="preserve">Utvrđuje se da je na dan 31.12.2025. godine stanje viškova/manjkova Proračuna Općine Bilice za 2025. godinu iznosilo, kako slijedi </w:t>
      </w:r>
    </w:p>
    <w:p>
      <w:pPr>
        <w:rPr>
          <w:rFonts w:eastAsiaTheme="minorHAnsi"/>
          <w:lang w:eastAsia="en-US"/>
        </w:rPr>
      </w:pP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922110 Višak prihoda poslovanja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2.336.449,20 eura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922220 Manjak prihoda od nefinancijski imovine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  605.761,85 eura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922230 Manjak primitaka od financijske imovine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    75.841,56 eura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Ukupni višak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1.654.845,79 eura</w:t>
      </w:r>
    </w:p>
    <w:p>
      <w:pPr>
        <w:widowControl w:val="0"/>
        <w:autoSpaceDE w:val="0"/>
        <w:autoSpaceDN w:val="0"/>
        <w:ind w:left="1068" w:right="107"/>
        <w:jc w:val="both"/>
        <w:rPr>
          <w:lang w:val="en-US" w:eastAsia="en-US" w:bidi="en-US"/>
        </w:rPr>
      </w:pPr>
    </w:p>
    <w:p>
      <w:pPr>
        <w:widowControl w:val="0"/>
        <w:autoSpaceDE w:val="0"/>
        <w:autoSpaceDN w:val="0"/>
        <w:ind w:left="1068" w:right="107"/>
        <w:jc w:val="both"/>
        <w:rPr>
          <w:lang w:val="en-US" w:eastAsia="en-US" w:bidi="en-US"/>
        </w:rPr>
      </w:pPr>
    </w:p>
    <w:p>
      <w:pPr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Članak 3</w:t>
      </w:r>
      <w:r>
        <w:rPr>
          <w:rFonts w:eastAsiaTheme="minorHAnsi"/>
          <w:lang w:eastAsia="en-US"/>
        </w:rPr>
        <w:t>.</w:t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Višak prihoda poslovanja u cijelosti se raspoređuje za pokriće manjka prihoda od nefinancijske imovine u iznosu od 605.761,85 eura i manjka primitaka od financijske imovine u iznosu od 75.841,56 eura.</w:t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Utvrđeni višak prihoda od poslovanja od 1.654.845,79 eura biti će uvršten u Izmjene i dopune Proračuna Općine Bilice za 2026. godinu i projekcije za 2027. i 2028. godinu i utrošit će se za namjensko korištenje i za rashode u programima Općinskog vijeća.</w:t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Višak prihoda od 1.654.845,79 eura sastoji se od: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Višak općih prihoda i primitaka u iznosu od 607.911,30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Višak prihoda od komunalne naknade u iznosu od 21.520,32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Višak prihoda od komunalnog doprinosa u iznosu od 202.379,72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Manjak prihoda od pomoći u iznosu od 44.825,93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Višak od donacija u iznosu od 8.836,62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Manjak od rashoda programa građenja u iznosu od 213.197,97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Manjak od primitaka od financijske imovine od 75.841,56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Višak od prihoda poslovanja iz prethodnih godina u iznosu od 1.148.063,29 eura</w:t>
      </w:r>
    </w:p>
    <w:p>
      <w:pPr>
        <w:jc w:val="both"/>
        <w:rPr>
          <w:rFonts w:eastAsiaTheme="minorHAnsi"/>
          <w:lang w:eastAsia="en-US"/>
        </w:rPr>
      </w:pPr>
    </w:p>
    <w:p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4.</w:t>
      </w:r>
    </w:p>
    <w:p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Ova Odluka stupa na snagu osmog dana od dana objave u „Službenom glasniku Općine Bilice“.</w:t>
      </w:r>
    </w:p>
    <w:p>
      <w:pPr>
        <w:rPr>
          <w:rFonts w:eastAsiaTheme="minorHAnsi"/>
          <w:lang w:eastAsia="en-US"/>
        </w:rPr>
      </w:pPr>
    </w:p>
    <w:p>
      <w:pPr>
        <w:rPr>
          <w:rFonts w:eastAsiaTheme="minorHAnsi"/>
          <w:lang w:eastAsia="en-US"/>
        </w:rPr>
      </w:pPr>
    </w:p>
    <w:p>
      <w:pPr>
        <w:rPr>
          <w:rFonts w:eastAsiaTheme="minorHAnsi"/>
          <w:lang w:eastAsia="en-US"/>
        </w:rPr>
      </w:pPr>
    </w:p>
    <w:p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OPĆINSKO VIJEĆE</w:t>
      </w:r>
    </w:p>
    <w:p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OPĆINE BILICE</w:t>
      </w:r>
    </w:p>
    <w:p>
      <w:pPr>
        <w:jc w:val="center"/>
        <w:rPr>
          <w:rFonts w:eastAsiaTheme="minorHAnsi"/>
          <w:b/>
          <w:lang w:eastAsia="en-US"/>
        </w:rPr>
      </w:pPr>
    </w:p>
    <w:p>
      <w:pPr>
        <w:jc w:val="center"/>
        <w:rPr>
          <w:rFonts w:eastAsiaTheme="minorHAnsi"/>
          <w:b/>
          <w:lang w:eastAsia="en-US"/>
        </w:rPr>
      </w:pPr>
    </w:p>
    <w:p>
      <w:pPr>
        <w:jc w:val="center"/>
        <w:rPr>
          <w:rFonts w:eastAsiaTheme="minorHAnsi"/>
          <w:b/>
          <w:lang w:eastAsia="en-US"/>
        </w:rPr>
      </w:pPr>
    </w:p>
    <w:p>
      <w:pPr>
        <w:autoSpaceDN w:val="0"/>
        <w:rPr>
          <w:b/>
          <w:bCs/>
        </w:rPr>
      </w:pPr>
      <w:r>
        <w:rPr>
          <w:b/>
        </w:rPr>
        <w:t xml:space="preserve">                                                                                                                 </w:t>
      </w:r>
      <w:r>
        <w:rPr>
          <w:b/>
          <w:bCs/>
        </w:rPr>
        <w:t xml:space="preserve">      PREDSJEDNIK</w:t>
      </w:r>
    </w:p>
    <w:p>
      <w:pPr>
        <w:autoSpaceDN w:val="0"/>
      </w:pPr>
      <w:r>
        <w:t xml:space="preserve">                                                                                                                      Niko Mikulandra</w:t>
      </w:r>
    </w:p>
    <w:p>
      <w:pPr>
        <w:autoSpaceDN w:val="0"/>
        <w:ind w:firstLine="708"/>
        <w:jc w:val="both"/>
      </w:pPr>
    </w:p>
    <w:p>
      <w:bookmarkStart w:id="0" w:name="_GoBack"/>
      <w:bookmarkEnd w:id="0"/>
    </w:p>
    <w:sectPr>
      <w:pgSz w:w="1191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1748A1"/>
    <w:multiLevelType w:val="hybridMultilevel"/>
    <w:tmpl w:val="40686084"/>
    <w:lvl w:ilvl="0" w:tplc="FF34028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3B6579-C9C7-4546-B7A4-AACF68E9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inet.hr/~ureddrza/Grb-rh%20mali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://www.inet.hr/~ureddrza/Grb-rh%20mali.gi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13</cp:revision>
  <cp:lastPrinted>2025-04-05T09:04:00Z</cp:lastPrinted>
  <dcterms:created xsi:type="dcterms:W3CDTF">2023-06-15T11:45:00Z</dcterms:created>
  <dcterms:modified xsi:type="dcterms:W3CDTF">2026-06-25T05:24:00Z</dcterms:modified>
</cp:coreProperties>
</file>