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Style w:val="Hiperveza"/>
        </w:rPr>
        <w:fldChar w:fldCharType="begin"/>
      </w:r>
      <w:r>
        <w:rPr>
          <w:rStyle w:val="Hiperveza"/>
          <w:rFonts w:ascii="Times New Roman" w:eastAsia="Times New Roman" w:hAnsi="Times New Roman" w:cs="Times New Roman"/>
          <w:lang w:eastAsia="hr-HR"/>
        </w:rPr>
        <w:instrText xml:space="preserve"> HYPERLINK "http://www.inet.hr/~ureddrza/Grb-rh%20mali.gif" \t "_top" </w:instrText>
      </w:r>
      <w:r>
        <w:rPr>
          <w:rStyle w:val="Hiperveza"/>
        </w:rPr>
        <w:fldChar w:fldCharType="separate"/>
      </w:r>
      <w:r>
        <w:rPr>
          <w:rStyle w:val="Hiperveza"/>
          <w:rFonts w:ascii="Times New Roman" w:eastAsia="Times New Roman" w:hAnsi="Times New Roman" w:cs="Times New Roman"/>
          <w:lang w:eastAsia="hr-HR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color w:val="0000CC"/>
          <w:lang w:eastAsia="hr-HR"/>
        </w:rPr>
        <w:drawing>
          <wp:inline distT="0" distB="0" distL="0" distR="0">
            <wp:extent cx="523875" cy="619125"/>
            <wp:effectExtent l="0" t="0" r="9525" b="9525"/>
            <wp:docPr id="1" name="Slika 1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CC"/>
          <w:lang w:eastAsia="hr-HR"/>
        </w:rPr>
        <w:fldChar w:fldCharType="end"/>
      </w: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400-08/24-01/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2182-19-25-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Bilice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18. travnja 2025.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članaka 45. i 46. Zakona o proračunu („Narodne novine“ broj 144/21) i članka 28. Statuta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(„Službeni vjesnik Šibensko-kninske županije“ broj 10/09, 5/13 i 8/13 i „Službeni glasnik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 broj 3/18, 5/18, 1/21 i 6/21-pročišćeni tekst, 9/23 i 3/25), Općinsko vijeće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31. sjednici, od 18. travnja 2025. godine, donosi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IZMJENE I DOPUNE (I.)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Proračuna Općine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Bilice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za 2025. godinu i projekcije za 2026. i 2027. godinu</w:t>
      </w:r>
    </w:p>
    <w:p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Proračunu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2025. godinu („Službeni glasnik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>“ broj 10/24) u članku 1. mijenjaju se: A. Račun prihoda i rashoda za 2025. godinu i C. Račun financiranja za 2025. godinu, kako slijedi: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RAČUN PRIHODA I RASHODA</w:t>
      </w:r>
    </w:p>
    <w:p>
      <w:r>
        <w:rPr>
          <w:noProof/>
          <w:lang w:eastAsia="hr-HR"/>
        </w:rPr>
        <w:drawing>
          <wp:inline distT="0" distB="0" distL="0" distR="0">
            <wp:extent cx="8892203" cy="1447800"/>
            <wp:effectExtent l="0" t="0" r="444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924" cy="144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RAČUN FINANCIRANJA</w:t>
      </w:r>
    </w:p>
    <w:p>
      <w:pPr>
        <w:rPr>
          <w:rFonts w:ascii="Times New Roman" w:hAnsi="Times New Roman" w:cs="Times New Roman"/>
          <w:b/>
        </w:rPr>
      </w:pPr>
      <w:r>
        <w:rPr>
          <w:noProof/>
          <w:lang w:eastAsia="hr-HR"/>
        </w:rPr>
        <w:drawing>
          <wp:inline distT="0" distB="0" distL="0" distR="0">
            <wp:extent cx="8887865" cy="1234440"/>
            <wp:effectExtent l="0" t="0" r="8890" b="381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755" cy="123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4169223"/>
            <wp:effectExtent l="0" t="0" r="3810" b="317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169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2. Prihoda i rashoda te primici i izdaci po ekonomskoj klasifikaciji utvrđeni u Računu prihoda i rashoda i Računu financiranja za 2025. godinu, mijenjaju se u: Račun prihoda i rashoda za 2025. godinu i B. Računu financiranja za 2025. godinu, kako slijedi: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PRIHODA I RASHODA</w:t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rPr>
          <w:noProof/>
          <w:lang w:eastAsia="hr-HR"/>
        </w:rPr>
        <w:drawing>
          <wp:inline distT="0" distB="0" distL="0" distR="0">
            <wp:extent cx="8892540" cy="4253243"/>
            <wp:effectExtent l="0" t="0" r="381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5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569553"/>
            <wp:effectExtent l="0" t="0" r="381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6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PREMA FUNKCIJSKOJ KLASIFIKACIJI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8725545" cy="4866005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0908" cy="486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694549" cy="1681480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7818" cy="1682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FINANCIRANJA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8640305" cy="1177925"/>
            <wp:effectExtent l="0" t="0" r="8890" b="3175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5077" cy="117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raspoređuju se po programima u Posebnom dijelu Izmjena i dopuna (I.) Proračuna, kako slijedi: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83" cy="5571640"/>
            <wp:effectExtent l="0" t="0" r="4445" b="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9" cy="5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83" cy="5556142"/>
            <wp:effectExtent l="0" t="0" r="4445" b="6985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599" cy="555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83" cy="5548393"/>
            <wp:effectExtent l="0" t="0" r="4445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334" cy="554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105" cy="5215179"/>
            <wp:effectExtent l="0" t="0" r="4445" b="508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742" cy="521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500916"/>
            <wp:effectExtent l="0" t="0" r="3810" b="508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339166"/>
            <wp:effectExtent l="0" t="0" r="4445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816" cy="534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83" cy="5532895"/>
            <wp:effectExtent l="0" t="0" r="4445" b="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480" cy="553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237" cy="5323667"/>
            <wp:effectExtent l="0" t="0" r="4445" b="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282" cy="532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45464"/>
            <wp:effectExtent l="0" t="0" r="3810" b="7620"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4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315918"/>
            <wp:effectExtent l="0" t="0" r="4445" b="0"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382" cy="531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45464"/>
            <wp:effectExtent l="0" t="0" r="3810" b="7620"/>
            <wp:docPr id="46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4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648855"/>
            <wp:effectExtent l="0" t="0" r="3810" b="9525"/>
            <wp:docPr id="47" name="Slika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4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648855"/>
            <wp:effectExtent l="0" t="0" r="3810" b="9525"/>
            <wp:docPr id="48" name="Slika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4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45464"/>
            <wp:effectExtent l="0" t="0" r="3810" b="7620"/>
            <wp:docPr id="49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4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4280416"/>
            <wp:effectExtent l="0" t="0" r="3810" b="6350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8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Izmjena i dopuna proračuna sastoji se od obrazloženja općeg dijela proračuna i obrazloženje posebnog dijela proračuna te čini sastavni dio ove Odluke.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5.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Izmjene i dopune (I.) Proračuna stupaju na snagu osmog dana od dana objave u „Službenom glasniku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>“.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OPĆINSKO VIJEĆE</w:t>
      </w:r>
    </w:p>
    <w:p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OPĆINE BILICE</w:t>
      </w:r>
    </w:p>
    <w:p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Vlatko Petrović</w:t>
      </w: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B5042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12C5F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D4B2C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22D41"/>
    <w:multiLevelType w:val="hybridMultilevel"/>
    <w:tmpl w:val="A65EEA0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90813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A346E-B33D-4BF4-A528-48F5E1BD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1" Type="http://schemas.openxmlformats.org/officeDocument/2006/relationships/numbering" Target="numbering.xml"/><Relationship Id="rId6" Type="http://schemas.openxmlformats.org/officeDocument/2006/relationships/image" Target="http://www.inet.hr/~ureddrza/Grb-rh%20mali.gif" TargetMode="External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image" Target="media/image1.gif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2025-06-04T05:21:00Z</dcterms:created>
  <dcterms:modified xsi:type="dcterms:W3CDTF">2025-06-04T05:21:00Z</dcterms:modified>
</cp:coreProperties>
</file>