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6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5" name="Slika 85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400-06/25-01/2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2182-19-25-3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30. rujna 2025.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88. Zakona o proračunu ("Narodne novine", broj 144/21), Pravilnika o godišnjem i polugodišnjem izvještaju o izvršenju proračuna ("Narodne novine", broj 85/23) i  članka 28. Statuta Općine Bilice („Službeni vjesnik Šibensko-kninske županije“, broj 10/09, 5/13 i 8/13 i „Službeni glasnik Općine Bilice“, broj 3/18, 5/18, 1/21, 6/21-pročišćeni tekst, 9/23 i 3/25),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 Općine Bilice na 3. sjednici, od 30. rujna 2025. godine, donosi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POLUGODIŠNJE IZVJEŠĆE O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IZVRŠENJU PRORAČUNA OPĆINE BILICE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01.01. DO 30.06.2025. GODINE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Općine Bilice za razdoblje od 01. siječnja do 30. lipnja 2025. godine ostvaren je,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A: Računa prihoda i rashoda, B. Računa financiranja i C. Raspoloživa sredstva iz prethodnih godina.</w:t>
      </w:r>
    </w:p>
    <w:tbl>
      <w:tblPr>
        <w:tblW w:w="9951" w:type="dxa"/>
        <w:jc w:val="center"/>
        <w:tblLook w:val="04A0" w:firstRow="1" w:lastRow="0" w:firstColumn="1" w:lastColumn="0" w:noHBand="0" w:noVBand="1"/>
      </w:tblPr>
      <w:tblGrid>
        <w:gridCol w:w="3963"/>
        <w:gridCol w:w="1222"/>
        <w:gridCol w:w="1321"/>
        <w:gridCol w:w="1223"/>
        <w:gridCol w:w="1079"/>
        <w:gridCol w:w="1143"/>
      </w:tblGrid>
      <w:tr>
        <w:trPr>
          <w:trHeight w:val="440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1-6.2024.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2025. €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2025. €</w:t>
            </w:r>
          </w:p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1-6.2025.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7.299.589,59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1.241.762,34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150,87%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17,01%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7 Prihodi od prodaje nefinancijske imovine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UKUPNI PRIHODI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7.299.589,59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1.241.762,34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150,87%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17,01%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373.361,15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2.010.894,24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731.667,67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195,97%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36,39%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162.586,21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6.360.501,88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338.801,11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208,38%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5,33%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UKUPNI RASHODI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8.371.396,12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1.070.468,78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199,73%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12,79%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VIŠAK / MANJAK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287.134,23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-1.071.806,53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171.293,56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59,66%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-15,98%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B. RAČUN ZADUŽIVANJA / FINANCIRANJA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-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NETO ZADUŽIVANJE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-75.900,00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UKUPNI DONOS VIŠKA / MANJKA IZ    PRETHODNE(IH) GODINA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</w:t>
            </w:r>
          </w:p>
        </w:tc>
      </w:tr>
      <w:tr>
        <w:trPr>
          <w:trHeight w:val="502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VIŠAK / MANJAK IZ PRETHODNE(IH) GODINE KOJI ĆE SE POKRITI / RASPOREDITI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502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C. VIŠAK / MANJAK + NETO ZADUŽIVANJE / FINANCIRANJE + KORIŠTENO U PRETHODNIM GODINAMA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REZULTAT GODINE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249.213,45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133.372,78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53,52%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p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po ekonomskoj klasifikaciji utvrđeni u Računu prihoda i rashoda u prvom polugodištu 2025. godine ostvareni su, kako slijedi:</w:t>
      </w:r>
    </w:p>
    <w:tbl>
      <w:tblPr>
        <w:tblW w:w="10123" w:type="dxa"/>
        <w:jc w:val="center"/>
        <w:tblLook w:val="04A0" w:firstRow="1" w:lastRow="0" w:firstColumn="1" w:lastColumn="0" w:noHBand="0" w:noVBand="1"/>
      </w:tblPr>
      <w:tblGrid>
        <w:gridCol w:w="4934"/>
        <w:gridCol w:w="1102"/>
        <w:gridCol w:w="1151"/>
        <w:gridCol w:w="1151"/>
        <w:gridCol w:w="1026"/>
        <w:gridCol w:w="759"/>
      </w:tblGrid>
      <w:tr>
        <w:trPr>
          <w:trHeight w:val="43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2025. €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7.299.589,59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1.241.762,34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150,87%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17,01%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61 Prihodi od poreza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536.661,23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1.774.324,57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775.766,72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144,55%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43,72%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611 Porez i prirez na dohodak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394.303,80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566.322,39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143,63%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6111 Porez i prirez na dohodak od nesamostalnog rada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394.303,80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566.322,39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143,63%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 Porezi na imovinu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135.670,91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204.749,64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150,92%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6131 Stalni porezi na nepokretnu imovinu (zemlju, zgrade, kuće i ostalo)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38.939,79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13.572,32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34,85%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6134 Povremeni porezi na imovinu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96.731,12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191.177,32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197,64%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614 Porezi na robu i usluge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6.686,52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4.694,69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70,21%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6142 Porez na promet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6.686,52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4.694,69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70,21%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 Pomoći iz inozemstva i od subjekata unutar općeg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4.936.915,02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148.874,62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104,95%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633 Pomoći proračunu iz drugih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148.874,62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104,95%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6331 Tekuće pomoći proračunu iz drugih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147.687,12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104,11%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6332 Kapitalne pomoći proračunu iz drugih proračuna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1.187,50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64 Prihodi od imovine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32.427,14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115,18%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67,70%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 Prihodi od nefinancijske imovine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32.427,14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115,18%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6421 Naknade za koncesije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3.797,50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7.737,10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203,74%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6422 Prihodi od zakupa i iznajmljivanja imovine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23.642,94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23.337,71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98,71%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6429 Ostali prihodi od nefinancijske imovine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714,08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1.352,33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189,38%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65 Prihodi od upravnih i administrativnih pristojbi, pristojbi po posebnim propisima i naknada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108.560,62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512.550,00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279.911,77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257,84%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54,61%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651 Upravne i administrativne pristojbe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3.714,92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155,66%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6514 Ostale pristojbe i naknade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3.714,92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155,66%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 Komunalni doprinosi i naknade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106.173,99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276.196,85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260,14%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6531 Komunalni doprinosi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33.600,87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202.020,22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601,24%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6532 Komunalne naknade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72.573,12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74.176,63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102,21%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66 Prihodi od prodaje proizvoda i robe te pruženih usluga i prihodi od donacija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4.768,50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62,32%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21,68%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663 Donacije od pravnih i fizičkih osoba izvan općeg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4.768,50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62,32%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6631 Tekuće donacije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4.768,50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62,32%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68 Kazne, upravne mjere i ostali prihodi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6,93%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0,23%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683 Ostali prihodi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6,93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6831 Ostali prihodi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6,93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373.361,15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2.010.894,24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731.667,67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195,97%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36,39%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31 Rashodi za zaposlene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66.047,29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110.003,29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166,55%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45,64%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 xml:space="preserve">311 Plaće (Bruto)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43.550,07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67.810,75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155,71%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3111 Plaće za redovan rad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43.550,07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67.810,75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155,71%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312 Ostali rashodi za zaposlene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4.061,32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11.253,81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277,10%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3121 Ostali rashodi za zaposlene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4.061,32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11.253,81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277,10%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313 Doprinosi na plaće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18.435,90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30.938,73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167,82%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 Doprinosi za mirovinsko osiguranje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10.546,91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16.952,74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160,74%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3132 Doprinosi za obvezno zdravstveno osiguranje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7.888,99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13.985,99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177,28%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32 Materijalni rashodi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145.195,34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1.155.794,24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292.724,18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201,61%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25,33%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 Naknade troškova zaposlenima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3.350,18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3.188,99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95,19%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3211 Službena putovanja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1.092,91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1.201,58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109,94%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3212 Naknade za prijevoz, za rad na terenu i odvojeni život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1.013,27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1.377,41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135,94%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3213 Stručno usavršavanje zaposlenika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1.244,00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49,04%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 Rashodi za materijal i energiju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22.780,69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26.625,19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116,88%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3221 Uredski materijal i ostali materijalni rashodi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2.782,83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2.354,59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84,61%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3223 Energija     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18.654,11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14.107,03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75,62%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3224 Materijal i dijelovi za tekuće i investicijsko održavanje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346,63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1.354,73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390,83%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3225 Sitni inventar i auto gume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997,12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8.808,84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883,43%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 Rashodi za usluge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103.552,26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243.424,00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235,07%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3231 Usluge telefona, pošte i prijevoza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8.949,75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6.202,14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69,30%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3232 Usluge tekućeg i investicijskog održavanja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66.972,18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181.555,09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271,09%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3233 Usluge promidžbe i informiranja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2.158,25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1.487,55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68,92%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3234 Komunalne usluge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4.757,34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4.485,90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94,29%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3235 Zakupnine i najamnine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601,52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10,39%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3237 Intelektualne i osobne usluge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8.956,26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35.924,81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401,11%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3238 Računalne usluge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7.274,30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7.755,81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106,62%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3239 Ostale usluge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3.882,66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5.950,20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153,25%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 Ostali nespomenuti rashodi poslovanja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15.512,21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19.486,00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125,62%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3291 Naknade za rad predstavničkih i izvršnih tijela, povjerenstava i slično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5.781,48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12.146,55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210,09%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3292 Premije osiguranja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2.912,25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3293 Reprezentacija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1.189,11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2.771,04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233,03%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 Pristojbe i naknade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57,81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341,30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590,38%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3296 Troškovi sudskih postupaka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119,45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3299 Ostali nespomenuti rashodi poslovanja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8.364,36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1.314,86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15,72%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34 Financijski rashodi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7.706,85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29.100,00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9.882,60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128,23%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33,96%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342 Kamate za primljene kredite i zajmove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1.469,72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1.441,48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98,08%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3423 Kamate za primljene kredite i zajmove od kreditnih i ostalih financijskih institucija izvan javnog s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1.469,72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1.441,48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98,08%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 Ostali financijski rashodi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6.237,13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8.441,12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135,34%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3431 Bankarske usluge i usluge platnog prometa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777,87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1.093,44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140,57%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3434 Ostali nespomenuti financijski rashodi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5.459,26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7.347,68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134,59%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37 Naknade građanima i kućanstvima na temelju osiguranja i druge naknade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94.797,80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408.100,00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152.982,76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161,38%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37,49%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 Ostale naknade građanima i kućanstvima iz proračuna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94.797,80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152.982,76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161,38%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3721 Naknade građanima i kućanstvima u novcu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11.731,38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15.537,76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132,45%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3722 Naknade građanima i kućanstvima u naravi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83.066,42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137.445,00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165,46%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38 Rashodi za donacije, kazne, naknade šteta i kapitalne pomoći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166.074,84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278,58%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93,88%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381 Tekuće donacije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166.074,84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278,58%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3811 Tekuće donacije u novcu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166.074,84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278,58%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162.586,21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6.360.501,88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338.801,11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208,38%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5,33%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41 Rashodi za nabavu neproizvedene dugotrajne imovine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963,64%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33,13%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412 Nematerijalna imovina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963,64%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4126 Ostala nematerijalna imovina 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963,64%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42 Rashodi za nabavu proizvedene dugotrajne imovine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161.211,21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6.301.001,88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313.301,11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194,34%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4,97%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 xml:space="preserve">421 Građevinski objekti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140.318,96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311.387,25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221,91%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4212 Poslovni objekti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358,93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4213 Ceste, željeznice i ostali prometni objekti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152.475,39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4214 Ostali građevinski objekti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139.960,03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158.911,86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113,54%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 Postrojenja i oprema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20.892,25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1.913,86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9,16%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4221 Uredska oprema i namještaj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1.743,38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4223 Oprema za održavanje i zaštitu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6.384,38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543,86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8,52%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 Uređaji, strojevi i oprema za ostale namjene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12.764,49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45 Rashodi za dodatna ulaganja na nefinancijskoj imovini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19.500,00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12.250,00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62,82%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452 Dodatna ulaganja na postrojenjima i opremi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4521 Dodatna ulaganja na postrojenjima i opremi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12.250,00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po izvorima financiranja utvrđeni u Računu prihoda i rashoda za izvještajno razdoblje od 01.01. do 30.06.2025. godine ostvareni su, kako slijedi: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jc w:val="center"/>
        <w:tblLook w:val="04A0" w:firstRow="1" w:lastRow="0" w:firstColumn="1" w:lastColumn="0" w:noHBand="0" w:noVBand="1"/>
      </w:tblPr>
      <w:tblGrid>
        <w:gridCol w:w="4528"/>
        <w:gridCol w:w="1151"/>
        <w:gridCol w:w="1151"/>
        <w:gridCol w:w="1151"/>
        <w:gridCol w:w="1026"/>
        <w:gridCol w:w="921"/>
      </w:tblGrid>
      <w:tr>
        <w:trPr>
          <w:trHeight w:val="526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2025. €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PRIHODI I RASHODI PREMA IZVORIMA FINANCIRANJA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PRIHODI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7.299.589,59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1.241.762,34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150,87%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17,01%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565.011,93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1.829.424,57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808.869,13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143,16%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44,21%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1.1. PRIHOD OD POREZA (61)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536.661,23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1.774.324,57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775.766,72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144,55%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43,72%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1.3. PRIHODI OD NEFINANCIJSKE IMOVINE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32.427,14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115,18%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67,70%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Izvori 1.4. PRIHODI OD ADMINISTRATIVNIH (UPRAVNIH) PRISTOJBI (65)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661,68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50,90%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Izvor. 1.9.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6,93%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0,23%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106.173,99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491.250,00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276.196,85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260,14%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56,22%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4.3. PRIHODI OD KOMUNALNE NAKNADE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72.573,12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291.250,00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74.176,63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102,21%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25,47%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4.4. PRIHODI OD KOMUNALNOG DOPRINOSA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33.600,87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202.020,22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601,24%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101,01%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4.936.915,02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148.874,62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104,95%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5.3. PRIHODI OD DRUGIH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5.5. TEKUĆE POMOĆI IZ DRŽAVNOG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295.375,00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147.687,12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104,11%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5.8. KAPITALNE POMOĆI IZ ŽUPANIJSKOG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5.9. KAPITALNE POMOĆI IZ DRŽAVNOG PRORAČUNA TEMELJEM PRIJENOSA EU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4.576.540,02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1.187,50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10.038,45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7.821,74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77,92%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18,62%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6.1. PRIHODI OSTVARENI OD FIZIČKIH OSOBA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7.451,82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4.228,50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56,74%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60,41%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6.2. PRIHODI OD NEPROFITNIH ORGANIZACIJA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3.053,24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127,93%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15,27%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6.3. PRIHODI OD TRGOVAČKIH DRUŠTAVA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3,60%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RASHODI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8.371.396,12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1.070.468,78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206,99%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12,79%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362.644,98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1.753.524,57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680.730,11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187,71%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1.1. PRIHOD OD POREZA (61)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343.558,02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1.698.424,57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660.293,84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192,19%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38,88%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1.3. PRIHODI OD NEFINANCIJSKE IMOVINE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17.426,24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15.536,85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89,16%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32,44%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Izvori 1.4. PRIHODI OD ADMINISTRATIVNIH (UPRAVNIH) PRISTOJBI (65)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997,12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130,38%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Izvor. 1.9.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663,60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3.599,42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542,41%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61,01%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42.242,78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491.250,00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123.774,40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293,01%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25,20%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4.3. PRIHODI OD KOMUNALNE NAKNADE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18.938,40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291.250,00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79.808,54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421,41%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27,40%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4.4. PRIHODI OD KOMUNALNOG DOPRINOSA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23.304,38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43.965,86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188,66%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21,98%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89.132,04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4.936.915,02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200.938,19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225,44%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4,07%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5.3. PRIHODI OD DRUGIH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Izvor 5.5. TEKUĆE POMOĆI IZ DRŽAVNOG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84.529,08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295.375,00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154.511,65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182,79%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52,31%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5.8. KAPITALNE POMOĆI IZ ŽUPANIJSKOG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4.244,03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40.838,30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962,25%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90,75%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5.9. KAPITALNE POMOĆI IZ DRŽAVNOG PRORAČUNA TEMELJEM PRIJENOSA EU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358,93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4.576.540,02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5.588,24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1556,92%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0,12%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9.468,32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21.776,15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229,99%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6.1. PRIHODI OSTVARENI OD FIZIČKIH OSOBA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6.2. PRIHODI OD NEPROFITNIH ORGANIZACIJA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6.476,42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4.227,11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65,27%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21,14%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6.3. PRIHODI OD TRGOVAČKIH DRUŠTAVA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2.991,90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17.549,04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586,55%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116,99%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8. NAMJENSKI IZVORI ZA PROGRAM GRAĐENJA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32.459,24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43.249,93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133,24%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3,77%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8.1. VIŠAK PRIHODA IZ PRETHODNE GODINE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32.459,24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43.249,93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133,24%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3,77%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 utvrđeni u Računu prihoda i rashoda za izvještajno razdoblje od 01.01. do 30.06.2025. godine ostvareni su, kako slijedi:</w:t>
      </w:r>
    </w:p>
    <w:tbl>
      <w:tblPr>
        <w:tblW w:w="10055" w:type="dxa"/>
        <w:jc w:val="center"/>
        <w:tblLook w:val="04A0" w:firstRow="1" w:lastRow="0" w:firstColumn="1" w:lastColumn="0" w:noHBand="0" w:noVBand="1"/>
      </w:tblPr>
      <w:tblGrid>
        <w:gridCol w:w="4904"/>
        <w:gridCol w:w="1132"/>
        <w:gridCol w:w="1151"/>
        <w:gridCol w:w="1151"/>
        <w:gridCol w:w="937"/>
        <w:gridCol w:w="848"/>
      </w:tblGrid>
      <w:tr>
        <w:trPr>
          <w:trHeight w:val="510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Račun/Opis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2025 €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Funkcijska klasifikacija  SVEUKUPNI RASHODI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8.371.396,12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1.070.468,78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199,73%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12,79%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01 Opće javne usluge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157.729,82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536.744,24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234.869,44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148,91%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43,76%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011 "Izvršna  i zakonodavna tijela, financijski i fiskalni poslovi, vanjski poslovi"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7.939,73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27.600,00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14.841,86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186,93%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53,77%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013 Opće usluge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145.504,94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489.144,24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216.736,33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148,95%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44,31%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016 Opće javne usluge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4.285,15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3.291,25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76,81%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16,46%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03 Javni red i sigurnost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2.115,20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61,46%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32,50%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2.115,20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61,46%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32,50%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04 Ekonomski poslovi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55.473,71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661.800,00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221.777,43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399,79%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33,51%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041 Opći ekonomski, trgovački i poslovi vezani uz rad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1.787,50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33,10%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043 Gorivo i energija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16.277,02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92.900,00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11.954,25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73,44%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12,87%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044 Rudarstvo, proizvodnja i građevinarstvo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23.304,38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045 Promet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7.242,29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507.500,00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159.910,68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2208,01%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31,51%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047 Ostale industrije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8.650,02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520,23%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049 Ekonomski poslovi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3.125,00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28,41%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05 Zaštita okoliša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17.215,26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47.712,55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277,15%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61,17%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051 Gospodarenje otpadom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15.918,06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52.200,00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30.979,42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194,62%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59,35%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056 Poslovi i usluge zaštite okoliša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1.297,20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25.800,00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16.733,13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1289,94%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64,86%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06 Usluge unapređenja stanovanja i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187.054,97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1.988.851,88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308.823,17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165,10%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15,53%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061 Razvoj stanovanja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20.322,38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45,16%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062 Razvoj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48.673,04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1.637.851,88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170.326,41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349,94%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10,40%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063 Opskrba vodom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42.324,96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064 Ulična rasvjeta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80.356,97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136.000,00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118.174,38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147,06%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86,89%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15.700,00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07 Zdravstvo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3.726,52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11.900,00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3.375,00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90,57%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28,36%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072 Službe za vanjske pacijente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601,52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074 Službe javnog zdravstva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3.125,00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3.375,00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108,00%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51,14%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076 Poslovi i usluge zdravstva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08 "Rekreacija, kultura i religija"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22.249,43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305.500,00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96.083,23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431,85%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31,45%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081 Službe rekreacije i sporta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225.500,00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96.083,23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42,61%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084 Religijske i druge službe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22.249,43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086 Rashodi za rekreaciju, kulturu i religiju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Funkcijska klasifikacija 09 Obrazovanje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75.659,17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4.732.400,00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132.250,00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174,80%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2,79%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091 Predškolsko i osnovno obrazovanje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73.959,17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4.717.000,00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130.550,00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176.52%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2,77%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095 Obrazovanje koje se ne može definirati po stupnju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098 Usluge obrazovanja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10 Socijalna zaštita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14.723,28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52.200,00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24.277,96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164,90%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46,51%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107 Socijalna pomoć stanovništvu koje nije obuhvaćeno redovnim socijalnim programima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2.991,90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8.740,20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292,13%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132,43%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11.731,38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15.537,76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132,45%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34,07%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Primici i izdaci po ekonomskoj klasifikaciji utvrđeni u Računu financiranja za izvještajno razdoblje od 01.01. do 30.06.2025. godine ostvareni su, kako slijedi:</w:t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414"/>
        <w:gridCol w:w="1017"/>
        <w:gridCol w:w="1151"/>
        <w:gridCol w:w="1017"/>
        <w:gridCol w:w="848"/>
        <w:gridCol w:w="855"/>
      </w:tblGrid>
      <w:tr>
        <w:trPr>
          <w:trHeight w:val="522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Račun/Opis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2025 €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2025 €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54 Izdaci za otplatu glavnice primljenih kredita i zajmova                                   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5443 Otplata glavnice primljenih kredita od tuzemnih kreditnih institucija izvan javnog sektora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NETO FINANCIRANJE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1.071.806,53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-3,54%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 Vlastiti izvori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 Rezultat poslovanja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KORIŠTENJE SREDSTAVA IZ PRETHODNIH GODINA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Primici i izdaci po izvorima financiranja utvrđeni u Računu financiranja za izvještajno razdoblje od 01.01. do 30.06.2025. godine ostvareni su, kako slijedi:</w:t>
      </w:r>
    </w:p>
    <w:tbl>
      <w:tblPr>
        <w:tblW w:w="10130" w:type="dxa"/>
        <w:jc w:val="center"/>
        <w:tblLook w:val="04A0" w:firstRow="1" w:lastRow="0" w:firstColumn="1" w:lastColumn="0" w:noHBand="0" w:noVBand="1"/>
      </w:tblPr>
      <w:tblGrid>
        <w:gridCol w:w="5205"/>
        <w:gridCol w:w="1098"/>
        <w:gridCol w:w="1151"/>
        <w:gridCol w:w="1098"/>
        <w:gridCol w:w="848"/>
        <w:gridCol w:w="790"/>
      </w:tblGrid>
      <w:tr>
        <w:trPr>
          <w:trHeight w:val="565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2025. €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2025. €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UKUPNI IZDACI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 xml:space="preserve">1.OPĆI PRIHODI I PRIMICI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1.1.PRIHODI OD POREZA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NETO FINANCIRANJE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KORIŠTENJE SREDSTAVA IZ PRETHODNIH GODINA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 NAMJENSKI IZVORI ZA PROGRAM GRAĐENJA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8.2. VIŠAK PRIHODA IZ PRETHODNE GODINE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1.147.706,53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i izdaci utvrđeni u Posebnom dijelu Općine Bilice za izvještajno razdoblje od 01.01. do 30.06.2025. godine, iskazani po organizacijskoj i programskoj klasifikaciji izvršeni su kako slijedi: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IZVRŠENJE PO ORGANIZACIJSKOJ KLASIFIKACIJI</w:t>
      </w:r>
    </w:p>
    <w:tbl>
      <w:tblPr>
        <w:tblW w:w="10017" w:type="dxa"/>
        <w:jc w:val="center"/>
        <w:tblLook w:val="04A0" w:firstRow="1" w:lastRow="0" w:firstColumn="1" w:lastColumn="0" w:noHBand="0" w:noVBand="1"/>
      </w:tblPr>
      <w:tblGrid>
        <w:gridCol w:w="1188"/>
        <w:gridCol w:w="957"/>
        <w:gridCol w:w="4749"/>
        <w:gridCol w:w="1151"/>
        <w:gridCol w:w="1151"/>
        <w:gridCol w:w="1041"/>
      </w:tblGrid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RGP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Opis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2025 €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2025 €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2/1</w:t>
            </w:r>
          </w:p>
        </w:tc>
      </w:tr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 RASHODI I IZDATCI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8.447.296,12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1.108.389,56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13,12%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427.500,00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189.292,23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44,28%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00101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427.500,00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189.292,23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44,28%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002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URED NAČELNIKA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16.100,00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4.258,59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26,45%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00201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 NAČELNIKA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16.100,00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4.258,59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26,45%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OPĆINSKO VIJEĆE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8.003.696,12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914.838,74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11,43%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OPĆINSKO VIJEĆE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8.003.696,12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914.838,74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11,43%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IZVRŠENJE PO PROGRAMSKOJ KLASIFIKACIJI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drawing>
          <wp:inline distT="0" distB="0" distL="0" distR="0">
            <wp:extent cx="8892540" cy="4992968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1999" cy="5637475"/>
            <wp:effectExtent l="0" t="0" r="4445" b="190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512" cy="563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575577"/>
            <wp:effectExtent l="0" t="0" r="381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137184"/>
            <wp:effectExtent l="0" t="0" r="3810" b="635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3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280825"/>
            <wp:effectExtent l="0" t="0" r="381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8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1999" cy="5597719"/>
            <wp:effectExtent l="0" t="0" r="4445" b="317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958" cy="56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1999" cy="5613621"/>
            <wp:effectExtent l="0" t="0" r="4445" b="635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843" cy="561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1999" cy="5557962"/>
            <wp:effectExtent l="0" t="0" r="4445" b="508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4" cy="556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098" cy="5518206"/>
            <wp:effectExtent l="0" t="0" r="4445" b="635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549" cy="551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4992968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575577"/>
            <wp:effectExtent l="0" t="0" r="3810" b="635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575577"/>
            <wp:effectExtent l="0" t="0" r="3810" b="635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431936"/>
            <wp:effectExtent l="0" t="0" r="381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3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431936"/>
            <wp:effectExtent l="0" t="0" r="381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3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431936"/>
            <wp:effectExtent l="0" t="0" r="3810" b="0"/>
            <wp:docPr id="64" name="Slika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3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719793"/>
            <wp:effectExtent l="0" t="0" r="3810" b="0"/>
            <wp:docPr id="66" name="Slika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1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884830"/>
            <wp:effectExtent l="0" t="0" r="3810" b="0"/>
            <wp:docPr id="67" name="Slika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8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ZAVRŠNA ODREDBA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zalihe, Izvještaj o zaduživanju na domaćem i stranom tržištu novca i kapitala, Izvještaj o danim jamstvima i plaćanjima po protestnim jamstvima te Obrazloženje ostvarenja prihoda i primitaka, rashoda i izdataka sastavni su dio Polugodišnjeg izvještaja o izvršenju Proračuna Općine Bilice za razdoblje od 01.01. do 30.06.2025. godine.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izvještaj o izvršenju Proračuna Općine Bilice za 2025. godinu objavit će se u „Službenom glasniku Općine Bilice“.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Niko Mikulandra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OBRAZLOŽENJE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 POLUGODIŠNJI IZJEŠTAJ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IZVRŠENJU PRORAČUNA OPĆINE BILICE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2025.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Pravilnikom o polugodišnjem i godišnjem izvještaju o izvršenju proračuna („Narodne novine“, broj 85/23) utvrđeno je da polugodišnji izvještaj o izvršenju proračuna jedinice lokalne samouprave sadrži: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DIO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POSEBAN DIO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</w:t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od izvršenju općeg dijela proračuna za razdoblje od 01. siječnja do 30. lipnja 2025. sadrži: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 i Računa financiranja,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prihoda i rashoda i 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SAŽETAK A. RAČUNA PRIHODA I RASHODA I B. RAČUNA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A. Računa prihoda i rashoda i B. Računa financiranja daje prikaz ukupnih prihoda i primitaka te rashoda i izdataka na razini razreda ekonomske klasifikacije, kao i višak/manjak prihoda, gdje je u razdoblju od 1. siječnja do 30. lipnja 2025. ostvaren višak prihoda u iznosu od 133.372,78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Sadrži i prikaz raspoloživih sredstva iz prethodnog razdoblja u iznosu od 1.147.706,53 EUR te konačni rezultat poslovanja za razdoblje od 1. siječnja do 30. lipnja 2025., odnosno višak prihoda u iznosu od 133.372,78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RAČUN PRIHODA I RASHODA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iskazuje se na sljedećim tablicama: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ekonomskoj klasifikaciji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izvorima financiranja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Prihodi i rashodi prema ekonomskoj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prema ekonomskoj klasifikaciji daje prikaz ukupnih prihoda (prihoda poslovanja) i rashoda (rashoda poslovanja i rashoda za nabavu nefinancijske imovine).</w:t>
      </w:r>
    </w:p>
    <w:p>
      <w:pPr>
        <w:pStyle w:val="Odlomakpopisa"/>
        <w:numPr>
          <w:ilvl w:val="3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PRIHODI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(skupina 6)  su ostvareni u iznosu od 1.241.762,34 EUR, što je 17,01% u odnosu na plan.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poreza (61) ostvareni su u iznosu od 775.766,72 EUR, što je 43,72% u odnosu na plan, u prihodima sudjeluju sa 62,47%, a čine ih: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na dohodak u iznosu od 566.322,39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na imovinu u iznosu od 204.749,64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na robu i usluge u iznosu od 4.694,69 EUR,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iz inozemstva i od subjekata unutar općeg proračuna (63) su ostvareni u iznosu od 148.874,62 EUR, što je 3,02% u odnosu na plan, u prihodima sudjeluju sa 11,99%, a odnose se na tekuće pomoći Ministarstva financija na ime fiskalnog izravnanja.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Prohod od imovine (64) ostvareni su u iznosu od 32.427,14 EUR, što je 67,70% u odnosu na plan, u prihodima sudjeluju sa 2,61%, a odnose se na Prihode od nefinancijske imovine: naknada za koncesiju ostvareni u iznosu od 7.737,10 EUR, prihodi od zakupa i iznajmljivanja imovine ostvareni u iznosu od 23.337,71 EUR i ostalih prihoda od nefinancijske imovine ostvareni u iznosu od 1.352,33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upravnih i administrativnih pristojbi, pristojbi po posebnim propisima i naknada (65) ostvareni su u iznosu od 279.911,77 EUR, što je 54,61% u odnosu na plan, u prihodima sudjeluju sa 22,54%, a čine ih: 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Upravne i administrativne pristojbe u iznosu od 3.714,92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Komunalni doprinosi i naknade u iznosu od 276.196,85 EUR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prodaje proizvoda i roba te pruženih usluga i prihodi od donacija (66) ostvareni su u iznosu od 4.768,50 EUR, što je 21,68% u odnosu na plan, u prihodima sudjeluju sa 0,38%, a odnosi se na donacije od pravnih i fizičkih osoba izvan općeg proračuna.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Kazne, upravne mjere i ostali prihodi (68) ostvareni su u iznosu od 13,59 EUR, što je 0,23% u odnosu na plan, u prihodima sudjeluju sa 0,001%, a čine ih ostali prihodi.</w:t>
      </w:r>
    </w:p>
    <w:p>
      <w:pPr>
        <w:pStyle w:val="Odlomakpopisa"/>
        <w:numPr>
          <w:ilvl w:val="3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RASHODI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(skupina 3 + skupina 4) su izvršeni u iznosu od 1.070.468,78 EUR, što je 12,78% u odnosu na plan. Odnose se na rashode poslovanja u iznosu od 731.667,67 EUR, koji u rashodima sudjeluju sa 68,35% i rashode za nabavu nefinancijske imovine u iznosu od 338.801,11 EUR, koji u rashodima sudjeluju sa 31,65%.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(3)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(31) ostvareni su u iznosu od 110.003,29 EUR, što je 45,64% u odnosu na plan, u rashodima sudjeluju sa 10,27%. Odnose se na plaće za zaposlene u iznosu od 67.810,75 EUR, ostali rashodi za zaposlene u iznosu od 11.253,81 EUR, doprinosa na plaće u iznosu od 30.938,73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Materijalni rashodi (32) ostvareni su u iznosu od 292.724,18 EUR, što je 25,33% u odnosu na plan, u rashodima sudjeluju sa 27,35%. Odnose se na: naknade troškova zaposlenima u iznosu od 3.188,99 EUR, rashode za materijal i energiju u iznosu 26.625,19 EUR, vrijednosno najznačajniji su rashodi za usluge u iznosu od 243.424,00 EUR (najviše rashoda odlazi na tekuće i investicijsko održavanje u iznosu 181.555,09 EUR) te ostali nespomenuti rashodi poslovanja u iznosu 19.486,00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(34) ostvareni su u iznosu od 9.882,60 EUR, što je 33,96% u odnosu na plan, u rashodima sudjeluju sa 0,92 %, a odnose se na usluge platnog prometa, zatezne kamate te ostale nespomenute financijske rashode.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Naknade građanima i kućanstvima na temelju osiguranja i druge naknade (37) ostvareni su u iznosu od 152.982,76 EUR, što je 37,49% u odnosu na plan, u rashodima sudjeluju sa 14,29%. Odnose se na novčane pomoći za novorođenu djecu i novosklopljene brakove, sufinanciranje dječjih vrtića.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Ostali rashodi (38) ostvareni su u iznosu od 166.074,84 EUR, što je 93,88% u odnosu na plan, u rashodima sudjeluju sa 15,51%, a odnose se na donacije za DVD Bilice i za Turističku zajednicu Općine Bilice, Crveni križ, refundaciju za Šibensko-kninsku županiju prema ugovoru o financiranju službenika Šibensko-kninske županije.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NEFINANCIJSKE IMOVINE (4)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neproizvedene dugotrajne imovine (41)  ostvareni su u iznosu od 13.250,00 EUR, a odnosi se na dokumentaciju izrade analize statike škole i glavni izvedbeni projekat proširenja groblja.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proizvedene dugotrajne imovine (42) ostvareni su u iznosu od 313.301,11 EUR, što je 4,97% u odnosu na plan, u rashodima sudjeluju sa 29,27%. Odnose se na: rashode za građevinske objekte u iznosu 311.387,25 EUR, postrojenja i oprema u iznosu 1.913,86 EUR.</w:t>
      </w: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Prihodi i rashodi prema izvorima financiranja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izvršenje rashoda planirani su izvori financiranja, koje čine prihodi iz kojih se podmiruju rashodi određene vrste i utvrđene namjene. Za svaki planirani prihod određeno je uz koji izvor financiranja se veže, a rashodi se mogu izvršavati do visine planiranih ili ostvarenih prihoda po izvorima.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(skupina 6) ostvareni su u ukupnom iznosu od 1.241.762,34 EUR, što je 17,01% u odnosu na plan, kako slijedi: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prihodi i primici u iznosu od 808.869,13 EUR, što je 44,21% u odnosu na plan, čine ih prihodi od poreza, prihodi od nefinancijske imovine, prihodi od administrativnih (upravnih) pristojbi te opći prihodi i primici.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posebne namjene u iznosu od 276.196,85 EUR, što je 56,22% u odnosu na plan, a čine ih prihodi od komunalne naknade i prihodi od komunalnog doprinosa.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u iznosu od 148.874,62 EUR, što je 3,02% u odnosu na plan, a čine ih tekuće pomoći iz državnog proračuna, tekuće pomoći iz županijskog proračuna, prihoda od drugih proračuna i kapitalne pomoći iz državnog proračuna temeljem prijenosa EU sredstava.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Donacije u iznosu od 7.821,74 EUR, što je 18,62% u odnosu na plan, a čine ih prihodi ostvareni od fizičkih osoba, prihodi od neprofitnih organizacija i prihodi od trgovačkih društava.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(skupina 3 + skupina 4) izvršeni su u iznosu od 1.063.636,31 EUR, što je 12,71% u odnosu na plan, iz izvora kako slijedi: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prihodi i primici u iznosu od 680.730,11 EUR, što je 38,82%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za posebne namjene u iznosu od 123.774,40 EUR, što je 25,20%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u iznosu od 200.938,19 EUR, što je 4,07%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Donacije u iznos od 21.776,15 EUR, što je 51,85%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Namjenski izbori za program građenja u iznosu od 36.417,46 EUR, što je 3,17% u odnosu na plan.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prema funkcijskoj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 daju prikaz izvršenih rashoda prema njihovoj namjeni, odnosno funkciji.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rashodi izvršeni su u iznosu od 1.070.468,78 EUR, što je 12,79% u odnosu na plan i razvrstani su kroz devet funkcija. Iz izvršenja rashoda prema funkcijskoj klasifikaciji vidljivo je da su svi rashodi izvršeni u skladu s planom.</w:t>
      </w:r>
    </w:p>
    <w:p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 sadrži prikaz primitaka i izdataka i iskazuje se prema proračunskim klasifikacijama u izvještaju: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ekonomskoj klasifikaciji,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izvorima financiranja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računa financiranja prema ekonomskoj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financiranja prema ekonomskoj klasifikaciji odnosi se na Izdatke za financijsku imovinu i otplatu zajmova (5) ostvaren je u iznosu od 37.920,78 EUR, što je 49,96% u odnosu na plan. </w:t>
      </w:r>
    </w:p>
    <w:p>
      <w:pPr>
        <w:pStyle w:val="Odlomakpopisa"/>
        <w:numPr>
          <w:ilvl w:val="2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računa financiranja prema izvorima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financiranja prema izvorima financiranja odnosi se na podmirenje zajma iz prihoda od poreza koji su ostvareni u iznosu 37.920,78 EUR što je 49,96% u odnosu na plan.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izvršenju posebnog dijela proračuna za razdoblje od 1. siječnja do 30. lipnja 2025. sadrži: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programskoj klasifikaciji</w:t>
      </w:r>
    </w:p>
    <w:p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IZVRŠENJE PO ORGANIZACIJSKOJ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 daje pregled izvršenja proračuna po razdjelu i glavama, ukupni rashodi u iznosu od 1.108.389,56 EUR izvršeni su kroz sljedeće razdjele: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 001- JEDINSTVENI UPRAVNI ODJEL – glava 00101 – Jedinstveni upravi odjel -  izvršeni su rashodi u iznosu 189.292,23 EUR što je 44,28% u odnosu na plan, a u ukupnim  rashodima sudjeluju sa 17,08%.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 002- URED NAČELNIKA – glava 00201 – Ured načelnika - izvršeni su rashodi u iznosu 4.258,59 EUR što je 26,45% u odnosu na plan, a u ukupnim  rashodima sudjeluju sa 0,38%.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 003 – OPĆINSKO VIJEĆA – glava 00301 – Općinsko vijeće - izvršeni su rashodi u iznosu 914.838,74 EUR što je 11,43% u odnosu na plan, a u ukupnim  rashodima sudjeluju sa 82,54%.</w:t>
      </w: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IZVRŠENJE PO PROGRAMSKOJ KLASIFIKACIJI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001: JEDINSTVENI UPRAVNI ODJEL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UKUPNI RASHODI JEDINSTVENOG UPRAVNOG ODJELA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 Izvorni plan 2025.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001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427.500,00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189.292,23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44,28%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GLAVA 00101: JEDINSTVENI UPRAVNI ODJEL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00101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427.500,00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189.292,23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44,28%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Izvršna uprava i administracija JUO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Uredska oprema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 Unaprjeđenje sustava – informatizacija uprave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1006: Izvršna uprava i administracija JUO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415.500,00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187.315,87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45,08%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Rashodi za zaposlene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251.500,00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113.192,28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Rashodi za zaposlene odnose se na izvršenje plaća za zaposlenike, za službena putovanja te za naknade za prijevoz, za rad na terenu i odvojeni život.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Rashodi za materijal i energiju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14.670,94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62,97%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A100003: Rashodi za materijal i energiju odnosi se na troškove električne energije za ured, materijale i dijelove tekućeg održavanja zgrade te rashodi za uredski materijal.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Rashod za usluge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59.452,65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42,25%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A100004: Rashod za usluge odnosi se na usluge odvjetnika, geodetske usluge.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Uredska oprema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1.913,86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19,14%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projekti K100001: Uredska oprema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1.913,86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K100001: Uredska oprema odnosi se na novi projektor, printer, nadogradnju postojećeg kompjutera.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Unaprjeđenje sustava – informatizacija uprave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62,50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3,13%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Najam printera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62,50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Najam printera, postojeći printer je zastario, te je uzet u najam novi printer.</w:t>
      </w:r>
    </w:p>
    <w:p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projekti K100001: Ulaganje u računalne programe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002: URED NAČELNIKA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UKUPNI RASHODI URED NAČELNIKA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 Izvorni plan 2025.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16.100,00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4.258,59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26,45%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00201: URED NAČELNIKA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16.100,00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4.258,59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26,45%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Izvršna uprava – Ured načelnika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1005: Izdvajanje u tekuću pričuvu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Izvršna uprava- Ured Načelnika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4.258,59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31,78%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Usluge promidžbe i informiranja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1.487,55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33,81%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Usluge promidžbe i informiranja odnosi se na usluge tiska i medija.</w:t>
      </w:r>
    </w:p>
    <w:p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Reprezentacija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2.771,04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30,79%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Reprezentacija odnosi se na usluge ugošćavanja.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1005: Izdvajanje u tekuću pričuvu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Izdvajanje u tekuću pričuvu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003: OPĆINSKO VIJEĆE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UKUPNI RASHODI OPĆINSKOG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 Izvorni plan 2025.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003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8.003.696,12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914.838,74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11,43%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00301: OPĆINSKO VIJEĆE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00301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8.003.696,12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914.838,74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11,43%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Općinsko vijeće i radna tijela vijeća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Financiranje rada političkih stranaka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Izvršna uprava i administracija JUO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Financiranje službenika Šibensko-kninske županije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ŠKŽ- Stipendiranje studenata medicine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kulturnih akcija i manifestacija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Ostale kulturne djelatnosti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Razvoj sporta i rekreacije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rada JVP Šibenik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Financiranje rada DVD Bilice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Jednokratne novčane pomoći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Podmirenje troškova stanovanja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Pomoć za rad ambulante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1007: Sredstva za nabavu školske opreme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 Tekuće donacije vjerskim organizacijama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Financiranje rada Crvenog križa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1010: Sufinanciranje izvan školskih aktivnosti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Božićnice umirovljenicima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programa predškolskog odgoja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Civilna zaštita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Tekuće održavanje javnih zelenih površina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Održavanje nerazvrstanih cesta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Održavanje groblja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Održavanje javne rasvjete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Mali komunalni zahvati po zaseocima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Održavanje javnih površina na kojima nije dopušten promet motornih vozila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Izgradnja javne rasvjete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Asfaltiranje i rekonstrukcija ulica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Izgradnja dječjih igrališta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Izgradnja šetnice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1016: Izgradnja infrastrukture i okoliša zgrade Općine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1017: Izgradnja grobnica i uređenje groblja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1018: Izgradnja i rekonstrukcija vodovodne mreže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1019: Izgradnja zgrade DVD-a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1021: Izgradnja zgrade područne škole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Srednja škola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Stipendiranje studenata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održavanja pomorskog dobra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1003: Izrada projektne dokumentacije 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Poticanje razvoja turizma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Dodatna ulaganja u postojeću imovinu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1002: Općinsko vijeće i radna tijela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12.146,55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55,21%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Općinsko vijeće i radna tijela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4.739,16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39,49%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Općinsko vijeće i radna tijela vijeća odnosi se na naknade za rad u vijeću.</w:t>
      </w:r>
    </w:p>
    <w:p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Lokalni izbori 2025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7.407,39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74,07%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Financiranje rada političkih stranaka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1.207,76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100,65%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političkih stranaka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1.207,76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100,65%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rada političkih stranaka odnosi se na naknadu političkim strankama za vijećnike u predstavničkom tijelu za saziv 2021-2025.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1006: Izvršna uprava i administracija JUO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39.362,26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49,64%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Rashodi za usluge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39.362,26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49,64%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A100004: Rashodi za usluge odnosi se na rashode za kamate na dugoročni kredit i otplatu glavnice.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Financiranje službenika Šibensko-kninske županije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17.705,84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88,53%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službenika Šibensko-kninske županije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17.705,84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88,53%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službenika Šibensko-kninske županije se odnosi na financiranje službenika prema Ugovoru o financiranje službenika iz Ureda za prostorno uređenje i gradnju.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ŠKŽ –Stipendiranje studenata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ŠKŽ –Stipendiranje studenata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Stipendiranje studenata medicine se odnosi na zajedničko sufinanciranje s Upravnim odjelom za zdravstvo, socijalnu skrb, branitelje i civilne stradalnike Domovinskog rata.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kulturnih akcija i manifestacija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Organizacija proslave dana Općine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Organizacija proslave dana Općine Bilice odnose se na troškove vezane uz organizaciju dana, koji spada 14.08.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1002: Ostale kulturne djelatnosti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Pomoć kulturnim udrugama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1001: Razvoj sporta i rekreacije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19.100,00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18.429,04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96,49%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Aktivnost A100001: Športska natjecanja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Športska natjecanja odnosi se na dodjelu sredstava na temelju Javnog poziva za subvencioniranje projekta razvoja i unapređenje športa za 2025.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Pomoć športskim društvima i udrugama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Pomoć športskim društvima i udrugama odnosi se na dodjelu sredstava na temelju Javnog poziva za subvencioniranje projekta razvoja i unapređenje športa za 2025.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Medicinska gimnastika za žene 50+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929,04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58,07%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A100003: Medicinska gimnastika za žene 50+ odnosi se na članarinu koja se plaća za žene iznad 50+.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1001: Financiranje rada JVP Šibenik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JVP Šibenik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Financiranje rada DVD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67.992,00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99,99%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Financiranje rada DVD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67.992,00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99,99%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Jednokratne novčane pomoći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15.537,76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43,16%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Jednokratne novčane pomoći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15.537,76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43,16%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Jednokratne novčane pomoći odnose se na pomoći za novorođeno dijete, novosklopljeni brak i novčane pomoći za bolest.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Podmirenje troškova stanovanja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Podmirenje troškova stanovanja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Podmirenje troškova stanovanja odnosi se na troškove za osobe koje imaju zajamčenu minimalnu naknadu.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Pomoć za rad ambulante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Sufinanciranje djelatnosti hitne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Sredstva za nabavu školske opreme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Sredstva za nabavu školske opreme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Sredstva za nabavu školske opreme odnosi se na financiranje radnih bilježnica za 1. razred Područne škole Jurja Dalmatinca Bilice.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1008: Tekuće donacije vjerskim organizacijama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Tekuće donacije vjerskim organizacijama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Financiranje rada Crvenog križa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8.740,20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132,43%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Crvenog križa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8.740,20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132,43%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rada Crvenog križa odnosi se na obvezu plaćanja prema Zakonu o Hrvatskom crvenom križu.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1010: Sufinanciranje izvanškolskih aktivnosti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Sufinanciranje izvanškolskih aktivnosti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aktivnost A100001: Sufinanciranje programa izvan školskih aktivnosti, radi se za učenike od 1. do 4. razreda OŠ Jurja Dalmatinca koji pohađaju nastavu u Bilicama. 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1011: Božićnice umirovljenicima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Aktivnost A100001: Božićnice umirovljenicima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programa predškolskog odgoja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130.550,00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41,18%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5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Sufinanciranje programa predškolskog odgoja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130.550,00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41,18%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aktivnost A100001: Sufinanciranje programa predškolskog odgoja odnosi se na sufinanciranje boravka djece u dječijim vrtićima.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1001: Civilna zaštita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32,50%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sustava civilne zaštite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Financiranje rada HGSS Šibenik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Tekuće održavanje javnih zelenih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34.278,44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50,78%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Zbrinjavanje napuštenih životinja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Provođenje DDDK mjera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3.375,00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A100005: Uklanjanje otpada sa javnih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14.415,84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57,66%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aktivnosti od A100005-A100011 brine komunalno poduzeće Bilice d.o.o.</w:t>
      </w: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A100006: Održavanje građevina javne odvodnje oborinskih voda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4.786,80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119,67%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A100007: Održavanje građevina, uređaja i predmeta javne namjene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A100007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4.850,40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73,49%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A100008: Održavanje čistoće javnih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A100008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4.256,00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A100010: Održavanje dječijih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A100010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2.594,40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64,86%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A100011: Održavanje sportskih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A100011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1002: Održavanje nerazvrstanih cesta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22.168,42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17,52%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Sanacija i održavanje nerazvrstanih prometnica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15.055,00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56,81%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T100002: Održavanje vatrogasnih i poljskih putova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3.428,80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8,57%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T100002: Održavanje vatrogasnih i poljskih putova odnosi se na betoniranje i sanaciju oronulih putova.</w:t>
      </w: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T100003: Rekonstrukcija i asfaltiranje nerazvrstanih cesta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3.684,62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T100003: Rekonstrukcija i asfaltiranje nerazvrstanih cesta odnosi se na održavanju cesta prema ugovoru sa Ceste Šibenik d.o.o.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Održavanje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3.228,75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16,14%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Tekuće održavanje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3.228,75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Tekuće održavanje groblja odnose se na troškove odvoza otpada sa groblja.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Održavanje javne rasvjete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153.900,00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75.372,38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48,97%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Utroška električne energije za javnu rasvjetu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92.900,00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11.954,25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12,87%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Tekući projekt T100002: Tekuće i investicijsko održavanje javne rasvjete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63.418,13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103,96%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T100002: Tekuće i investicijsko održavanje rasvjete odnosi se na troškove održavanja koje provodi Marzes d.o.o.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Mali komunalni zahvati po zaseocima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3.808,73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38,09%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Tekući projekt T100001: Mali komunalni zahvati po zaseocima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3.808,73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38,09%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Mali komunalni zahvati po zaseocima odnosi se na rekonstrukciju manjih zahvata.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1012: Održavanje javnih površina na kojima nije dopušten promet motornih vozila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7.100,00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4.670,38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65,78%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Održavanje javnih plaža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2.670,38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80,92%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Održavanje pješačkih staza i obalne šetnice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52,63%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Izgradnja javne rasvjete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54.756,25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70,20%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K100006: Ugradnja led rasvjetnih tijela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K100006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54.756,25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99,56%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K100011: Izgradnja javne rasvjete Put Lučidbe (Vrulje)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K100012: Izgradnja javne rasvjete na plaži u Vruljama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K100013: Izgradnja javne rasvjete Marčinkova ulica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Asfaltiranje i rekonstrukcija ulica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389.000,00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140.869,26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36,21%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3.125,00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39,06%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K100016: Asfaltiranje ulice kod Kudre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K100016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14.266,35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44,58%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K100017: Asfaltiranje ulice Podlukovnik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K100017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36.630,85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45,79%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K100018: Asfaltiranje ulice Lugovići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K100018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29.699,51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49,50%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K100019: Asfaltiranje put Lokvice (Pomišljaj)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K100019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K100020: Asfaltiranje ulice Put Vidrovače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K100020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38.835,19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77,67%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K100021: Asfaltiranje ulice Cari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18.310,36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52,32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K100022: Asfaltiranje Marčinove ulice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Kapitalni projekt K100023: Asfaltiranje ulice Put Lučidbe (Vrulje)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K100024: Asfaltiranje ulice Ravnica-Dućan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K100025: Asfaltiranje ulice Vrulje-Glišica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K100025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Izgradnja dječjih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250.700,00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105.943,11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1.787,50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66,20%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K100002:  Izgradnja dječjeg igrališta u Novom Naselju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42.123,63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28,08%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Kapitalni projekt K100003:  Izgradnja dječjeg igrališta u Carima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41.709,60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78,70%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Asfaltiranje igrališta u Stublju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b/>
                <w:bCs/>
                <w:color w:val="000000"/>
                <w:sz w:val="20"/>
                <w:szCs w:val="20"/>
              </w:rPr>
              <w:t>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20.322,38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101,61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K100005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Rekonstrukcija dječjeg igrališta u Mikulandrama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b/>
                <w:bCs/>
                <w:color w:val="000000"/>
                <w:sz w:val="20"/>
                <w:szCs w:val="20"/>
              </w:rPr>
              <w:t>100005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K100006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Ograda igrališta u Vruljama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b/>
                <w:bCs/>
                <w:color w:val="000000"/>
                <w:sz w:val="20"/>
                <w:szCs w:val="20"/>
              </w:rPr>
              <w:t>100006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Izgradnja šetnice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187.700,00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Kapitalni projekt K100001: Izgradnja šetnice Lučeva punta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K100004: Rekonstrukcija obale i rive u Vruljama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pStyle w:val="Odlomakpopisa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K100005</w:t>
      </w:r>
      <w:r>
        <w:rPr>
          <w:rFonts w:ascii="Times New Roman" w:hAnsi="Times New Roman" w:cs="Times New Roman"/>
          <w:b/>
          <w:sz w:val="24"/>
          <w:szCs w:val="24"/>
        </w:rPr>
        <w:t xml:space="preserve">: Izgradnja šetnice </w:t>
      </w:r>
      <w:r>
        <w:rPr>
          <w:rFonts w:ascii="Times New Roman" w:hAnsi="Times New Roman" w:cs="Times New Roman"/>
          <w:b/>
          <w:sz w:val="24"/>
          <w:szCs w:val="24"/>
        </w:rPr>
        <w:t>Jažina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1016: Izgradnja infrastrukture i okoliša zgrade Općine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14.733,13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66,97%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Uređenje okoliša zgrade Općine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14.733,13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73,67%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1017: Izgradnja grobnica i uređenje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grobnica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</w:t>
      </w:r>
      <w:r>
        <w:rPr>
          <w:rFonts w:ascii="Times New Roman" w:hAnsi="Times New Roman" w:cs="Times New Roman"/>
          <w:b/>
          <w:sz w:val="24"/>
          <w:szCs w:val="24"/>
        </w:rPr>
        <w:t>t K100002: Izgradnja stepenica na groblju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1018: Izgradnja i rekonstrukcija vodovodne mreže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i rekonstrukcija vodovodne mreže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1019: Izgradnja zgrade DVD-a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1.196.546,12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5.588,24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0,47%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zgrade DVD-a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1.150.001,88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Intelektualne usluge Vatrogasni dom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26.544,24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5.588,24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21,05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1021: Izgradnja zgrade područne škole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1021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4.400.000,00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  <w:r>
        <w:rPr>
          <w:rFonts w:ascii="Times New Roman" w:hAnsi="Times New Roman" w:cs="Times New Roman"/>
          <w:b/>
          <w:sz w:val="24"/>
          <w:szCs w:val="24"/>
        </w:rPr>
        <w:t xml:space="preserve"> OŠ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</w:t>
            </w:r>
            <w:r>
              <w:rPr>
                <w:b/>
                <w:bCs/>
                <w:color w:val="000000"/>
                <w:sz w:val="20"/>
                <w:szCs w:val="20"/>
              </w:rPr>
              <w:t>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</w:t>
      </w:r>
      <w:r>
        <w:rPr>
          <w:rFonts w:ascii="Times New Roman" w:hAnsi="Times New Roman" w:cs="Times New Roman"/>
          <w:b/>
          <w:sz w:val="24"/>
          <w:szCs w:val="24"/>
        </w:rPr>
        <w:t xml:space="preserve"> K100001: Izgradnja zgrade OŠ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Srednja škola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6.895,00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Sufinanciranje prijevoza učenika srednjih škola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6.895,00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Sufinanciranje prijevoza učenika srednjih škola odnosi se na odluku o sufinanciranju 25% iznosa mjesečne karte i sporazuma sa Šibensko-kninskom županijom.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Stipendiranje studenata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Stipendiranje studenata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održavanja pomorskog dobra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76.250,00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53.357,24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69,98%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Tekuće održavanje pomorsko dobra (plaže)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76.250,00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53.357,24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69,98%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Tekuće održavanje pomorskog dobra odnosi se na uređenje plaža i dohranu.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Izrada projektne dokumentacije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rPr>
          <w:trHeight w:val="813"/>
        </w:trP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13.250,00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33,13%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Izrada projektne dokumentacije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13.250,00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33,13%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1001: Poticanje razvoja turizma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Turistička zajednica Općine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 xml:space="preserve"> 1001: Dodatna ulaganja u postojeću imovinu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12.250,00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62,82%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5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</w:t>
      </w:r>
      <w:r>
        <w:rPr>
          <w:rFonts w:ascii="Times New Roman" w:hAnsi="Times New Roman" w:cs="Times New Roman"/>
          <w:b/>
          <w:sz w:val="24"/>
          <w:szCs w:val="24"/>
        </w:rPr>
        <w:t xml:space="preserve">100001: </w:t>
      </w:r>
      <w:r>
        <w:rPr>
          <w:rFonts w:ascii="Times New Roman" w:hAnsi="Times New Roman" w:cs="Times New Roman"/>
          <w:b/>
          <w:sz w:val="24"/>
          <w:szCs w:val="24"/>
        </w:rPr>
        <w:t>Dodatna ulaganja u tribine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2025.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30.6.2025.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30.6.2025./Izvorni plan 2025.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b/>
                <w:bCs/>
                <w:color w:val="000000"/>
                <w:sz w:val="20"/>
                <w:szCs w:val="20"/>
              </w:rPr>
              <w:t>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12.250,00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62,82%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3.POSEBNI IZVJEŠTAJI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 su: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protestnim jamstvima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IZVJEŠTAJ O KORIŠTENJU PRORAČUNSKE ZALIHE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2025. godinu općinski načelnik koristi sredstva proračunske zalihe za neplanirane ili nedovoljno planirane rashode. U izvještajnom razdoblju nisu korištena sredstva proračunske zalihe.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</w:p>
    <w:p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Bilice se zadužila u Erste banci na rok od 7 godina. U prvom polugodištu 2025. godine je otplaćena glavnica u iznosu 37.920,78 €, i kamata u iznosu 1.441,48 €.</w:t>
      </w:r>
    </w:p>
    <w:p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PROTESTNIM JAMSTVIMA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2025. godinu nisu predviđena davanja jamstva, te se ista nisu ni davala.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PREDSJENIK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Niko Mikulandra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6731C"/>
    <w:multiLevelType w:val="hybridMultilevel"/>
    <w:tmpl w:val="1C543D50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5F6D26"/>
    <w:multiLevelType w:val="hybridMultilevel"/>
    <w:tmpl w:val="DB2CD404"/>
    <w:lvl w:ilvl="0" w:tplc="42D0A16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9E345D"/>
    <w:multiLevelType w:val="hybridMultilevel"/>
    <w:tmpl w:val="55EA7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53E2F"/>
    <w:multiLevelType w:val="hybridMultilevel"/>
    <w:tmpl w:val="21B684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750AD"/>
    <w:multiLevelType w:val="hybridMultilevel"/>
    <w:tmpl w:val="C7A46C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B2FE7"/>
    <w:multiLevelType w:val="hybridMultilevel"/>
    <w:tmpl w:val="1D3845DE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8251F69"/>
    <w:multiLevelType w:val="hybridMultilevel"/>
    <w:tmpl w:val="08646230"/>
    <w:lvl w:ilvl="0" w:tplc="8AC08B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65ECD"/>
    <w:multiLevelType w:val="hybridMultilevel"/>
    <w:tmpl w:val="1FF2E67E"/>
    <w:lvl w:ilvl="0" w:tplc="BAE2F0C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BB72871"/>
    <w:multiLevelType w:val="hybridMultilevel"/>
    <w:tmpl w:val="78362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F066F"/>
    <w:multiLevelType w:val="hybridMultilevel"/>
    <w:tmpl w:val="7CC4D38A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21F5445"/>
    <w:multiLevelType w:val="hybridMultilevel"/>
    <w:tmpl w:val="B352C1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CA1E9C"/>
    <w:multiLevelType w:val="hybridMultilevel"/>
    <w:tmpl w:val="E1980B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C38A7"/>
    <w:multiLevelType w:val="hybridMultilevel"/>
    <w:tmpl w:val="D5386F2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6992D63"/>
    <w:multiLevelType w:val="hybridMultilevel"/>
    <w:tmpl w:val="9970FE3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17653C4"/>
    <w:multiLevelType w:val="hybridMultilevel"/>
    <w:tmpl w:val="F1F4C7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92C05"/>
    <w:multiLevelType w:val="hybridMultilevel"/>
    <w:tmpl w:val="CE2E43A0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54866C1"/>
    <w:multiLevelType w:val="hybridMultilevel"/>
    <w:tmpl w:val="18A0F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A148A"/>
    <w:multiLevelType w:val="hybridMultilevel"/>
    <w:tmpl w:val="DF229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7125D"/>
    <w:multiLevelType w:val="hybridMultilevel"/>
    <w:tmpl w:val="DB0CD3C4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5618A"/>
    <w:multiLevelType w:val="multilevel"/>
    <w:tmpl w:val="29F27A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0" w15:restartNumberingAfterBreak="0">
    <w:nsid w:val="2DF55121"/>
    <w:multiLevelType w:val="hybridMultilevel"/>
    <w:tmpl w:val="E604AA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A86BEF"/>
    <w:multiLevelType w:val="hybridMultilevel"/>
    <w:tmpl w:val="E9284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32E74"/>
    <w:multiLevelType w:val="hybridMultilevel"/>
    <w:tmpl w:val="4B7411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BB3D77"/>
    <w:multiLevelType w:val="hybridMultilevel"/>
    <w:tmpl w:val="26F62E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21113"/>
    <w:multiLevelType w:val="multilevel"/>
    <w:tmpl w:val="8C460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7520F36"/>
    <w:multiLevelType w:val="hybridMultilevel"/>
    <w:tmpl w:val="A21CA8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8F222D"/>
    <w:multiLevelType w:val="hybridMultilevel"/>
    <w:tmpl w:val="C700E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C6073E"/>
    <w:multiLevelType w:val="hybridMultilevel"/>
    <w:tmpl w:val="B54493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B946A2"/>
    <w:multiLevelType w:val="hybridMultilevel"/>
    <w:tmpl w:val="356CF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1C3132"/>
    <w:multiLevelType w:val="hybridMultilevel"/>
    <w:tmpl w:val="5BF8CA2C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2B37D77"/>
    <w:multiLevelType w:val="hybridMultilevel"/>
    <w:tmpl w:val="F1282A7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3A72272"/>
    <w:multiLevelType w:val="hybridMultilevel"/>
    <w:tmpl w:val="682CE268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6AC7295"/>
    <w:multiLevelType w:val="hybridMultilevel"/>
    <w:tmpl w:val="4E0C9C56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6E90EED"/>
    <w:multiLevelType w:val="multilevel"/>
    <w:tmpl w:val="E72036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4" w15:restartNumberingAfterBreak="0">
    <w:nsid w:val="4C691792"/>
    <w:multiLevelType w:val="hybridMultilevel"/>
    <w:tmpl w:val="1D8C00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72861"/>
    <w:multiLevelType w:val="hybridMultilevel"/>
    <w:tmpl w:val="C0A2AEF0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4FD01471"/>
    <w:multiLevelType w:val="multilevel"/>
    <w:tmpl w:val="71E0F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590019"/>
    <w:multiLevelType w:val="hybridMultilevel"/>
    <w:tmpl w:val="3D60D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EC0A01"/>
    <w:multiLevelType w:val="hybridMultilevel"/>
    <w:tmpl w:val="90C2C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3424EE"/>
    <w:multiLevelType w:val="hybridMultilevel"/>
    <w:tmpl w:val="1D9EBA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335CF8"/>
    <w:multiLevelType w:val="hybridMultilevel"/>
    <w:tmpl w:val="918AC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E4599"/>
    <w:multiLevelType w:val="hybridMultilevel"/>
    <w:tmpl w:val="403811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0B0005"/>
    <w:multiLevelType w:val="hybridMultilevel"/>
    <w:tmpl w:val="0260805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63894BA7"/>
    <w:multiLevelType w:val="hybridMultilevel"/>
    <w:tmpl w:val="E51CEB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432944"/>
    <w:multiLevelType w:val="hybridMultilevel"/>
    <w:tmpl w:val="176CD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10599C"/>
    <w:multiLevelType w:val="hybridMultilevel"/>
    <w:tmpl w:val="B5E2110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7AC0C72"/>
    <w:multiLevelType w:val="hybridMultilevel"/>
    <w:tmpl w:val="FFC4AC7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6E186D8A"/>
    <w:multiLevelType w:val="hybridMultilevel"/>
    <w:tmpl w:val="81285E0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FAA2F00"/>
    <w:multiLevelType w:val="hybridMultilevel"/>
    <w:tmpl w:val="C75CB7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85394A"/>
    <w:multiLevelType w:val="hybridMultilevel"/>
    <w:tmpl w:val="A6DEFF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7F5CF2"/>
    <w:multiLevelType w:val="hybridMultilevel"/>
    <w:tmpl w:val="7AF6D6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C615E"/>
    <w:multiLevelType w:val="hybridMultilevel"/>
    <w:tmpl w:val="0BE255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36"/>
  </w:num>
  <w:num w:numId="4">
    <w:abstractNumId w:val="21"/>
  </w:num>
  <w:num w:numId="5">
    <w:abstractNumId w:val="7"/>
  </w:num>
  <w:num w:numId="6">
    <w:abstractNumId w:val="24"/>
  </w:num>
  <w:num w:numId="7">
    <w:abstractNumId w:val="8"/>
  </w:num>
  <w:num w:numId="8">
    <w:abstractNumId w:val="17"/>
  </w:num>
  <w:num w:numId="9">
    <w:abstractNumId w:val="44"/>
  </w:num>
  <w:num w:numId="10">
    <w:abstractNumId w:val="50"/>
  </w:num>
  <w:num w:numId="11">
    <w:abstractNumId w:val="3"/>
  </w:num>
  <w:num w:numId="12">
    <w:abstractNumId w:val="26"/>
  </w:num>
  <w:num w:numId="13">
    <w:abstractNumId w:val="37"/>
  </w:num>
  <w:num w:numId="14">
    <w:abstractNumId w:val="20"/>
  </w:num>
  <w:num w:numId="15">
    <w:abstractNumId w:val="49"/>
  </w:num>
  <w:num w:numId="16">
    <w:abstractNumId w:val="11"/>
  </w:num>
  <w:num w:numId="17">
    <w:abstractNumId w:val="39"/>
  </w:num>
  <w:num w:numId="18">
    <w:abstractNumId w:val="43"/>
  </w:num>
  <w:num w:numId="19">
    <w:abstractNumId w:val="34"/>
  </w:num>
  <w:num w:numId="20">
    <w:abstractNumId w:val="38"/>
  </w:num>
  <w:num w:numId="21">
    <w:abstractNumId w:val="16"/>
  </w:num>
  <w:num w:numId="22">
    <w:abstractNumId w:val="2"/>
  </w:num>
  <w:num w:numId="23">
    <w:abstractNumId w:val="48"/>
  </w:num>
  <w:num w:numId="24">
    <w:abstractNumId w:val="27"/>
  </w:num>
  <w:num w:numId="25">
    <w:abstractNumId w:val="25"/>
  </w:num>
  <w:num w:numId="26">
    <w:abstractNumId w:val="41"/>
  </w:num>
  <w:num w:numId="27">
    <w:abstractNumId w:val="23"/>
  </w:num>
  <w:num w:numId="28">
    <w:abstractNumId w:val="28"/>
  </w:num>
  <w:num w:numId="29">
    <w:abstractNumId w:val="4"/>
  </w:num>
  <w:num w:numId="30">
    <w:abstractNumId w:val="40"/>
  </w:num>
  <w:num w:numId="31">
    <w:abstractNumId w:val="18"/>
  </w:num>
  <w:num w:numId="32">
    <w:abstractNumId w:val="32"/>
  </w:num>
  <w:num w:numId="33">
    <w:abstractNumId w:val="9"/>
  </w:num>
  <w:num w:numId="34">
    <w:abstractNumId w:val="47"/>
  </w:num>
  <w:num w:numId="35">
    <w:abstractNumId w:val="46"/>
  </w:num>
  <w:num w:numId="36">
    <w:abstractNumId w:val="12"/>
  </w:num>
  <w:num w:numId="37">
    <w:abstractNumId w:val="1"/>
  </w:num>
  <w:num w:numId="38">
    <w:abstractNumId w:val="5"/>
  </w:num>
  <w:num w:numId="39">
    <w:abstractNumId w:val="33"/>
  </w:num>
  <w:num w:numId="40">
    <w:abstractNumId w:val="42"/>
  </w:num>
  <w:num w:numId="41">
    <w:abstractNumId w:val="29"/>
  </w:num>
  <w:num w:numId="42">
    <w:abstractNumId w:val="31"/>
  </w:num>
  <w:num w:numId="43">
    <w:abstractNumId w:val="13"/>
  </w:num>
  <w:num w:numId="44">
    <w:abstractNumId w:val="19"/>
  </w:num>
  <w:num w:numId="45">
    <w:abstractNumId w:val="14"/>
  </w:num>
  <w:num w:numId="46">
    <w:abstractNumId w:val="30"/>
  </w:num>
  <w:num w:numId="47">
    <w:abstractNumId w:val="45"/>
  </w:num>
  <w:num w:numId="48">
    <w:abstractNumId w:val="15"/>
  </w:num>
  <w:num w:numId="49">
    <w:abstractNumId w:val="35"/>
  </w:num>
  <w:num w:numId="50">
    <w:abstractNumId w:val="51"/>
  </w:num>
  <w:num w:numId="51">
    <w:abstractNumId w:val="22"/>
  </w:num>
  <w:num w:numId="52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7995B-52F0-448F-A820-577A4D2B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6">
    <w:name w:val="xl6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7">
    <w:name w:val="xl6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PodnojeChar">
    <w:name w:val="Podnožje Char"/>
    <w:basedOn w:val="Zadanifontodlomka"/>
    <w:link w:val="Podnoje"/>
    <w:uiPriority w:val="99"/>
    <w:rPr>
      <w:rFonts w:ascii="Calibri" w:eastAsia="Calibri" w:hAnsi="Calibri" w:cs="Calibri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4">
    <w:name w:val="xl8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6">
    <w:name w:val="xl8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0">
    <w:name w:val="xl90"/>
    <w:basedOn w:val="Normal"/>
    <w:pPr>
      <w:pBdr>
        <w:top w:val="single" w:sz="4" w:space="0" w:color="auto"/>
        <w:lef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1">
    <w:name w:val="xl9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2">
    <w:name w:val="xl92"/>
    <w:basedOn w:val="Normal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4">
    <w:name w:val="xl9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BezproredaChar">
    <w:name w:val="Bez proreda Char"/>
    <w:aliases w:val="Zoran Char,Keki Char"/>
    <w:link w:val="Bezproreda"/>
    <w:uiPriority w:val="1"/>
    <w:locked/>
  </w:style>
  <w:style w:type="paragraph" w:styleId="Bezproreda">
    <w:name w:val="No Spacing"/>
    <w:aliases w:val="Zoran,Keki"/>
    <w:link w:val="BezproredaChar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net.hr/~ureddrza/Grb-rh%20mali.gif" TargetMode="External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image" Target="media/image1.gif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hyperlink" Target="http://www.inet.hr/~ureddrza/Grb-rh%20mali.gif" TargetMode="Externa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867FE-CD4E-4037-AF38-90B38310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57</Pages>
  <Words>10807</Words>
  <Characters>61601</Characters>
  <Application>Microsoft Office Word</Application>
  <DocSecurity>0</DocSecurity>
  <Lines>513</Lines>
  <Paragraphs>144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41</cp:revision>
  <dcterms:created xsi:type="dcterms:W3CDTF">2023-09-21T07:45:00Z</dcterms:created>
  <dcterms:modified xsi:type="dcterms:W3CDTF">2025-09-22T10:51:00Z</dcterms:modified>
</cp:coreProperties>
</file>