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FINANCIJSKE IZVJEŠTAJE ZA RAZDOBLJE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1.SIJEČNJA-31. PROSINCA 2023.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PRIHODIMA I RASHODIMA, PRIMICIMA I IZDACIMA</w:t>
      </w:r>
    </w:p>
    <w:tbl>
      <w:tblPr>
        <w:tblW w:w="9356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268"/>
      </w:tblGrid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bookmarkStart w:id="0" w:name="_Hlk382850900"/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poslovanja (šifra 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1.803.308,87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 xml:space="preserve">ukupni rashodi poslovanja (šifra 3)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973.663,63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poslovanja (X001)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829.645,24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prihodi od prodaje nefinancijske imovine (šifra 7)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ukupni rashodi za nabavu nefinancijske imovine (šifra 4)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hr-HR"/>
              </w:rPr>
              <w:t>511.619,45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manjak prihoda od nefinancijske imovine (Y002)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511.619,45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primici od financijske imovine i zaduživanja (šifra 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0,00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ind w:firstLine="1026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prihodi i primici (šifra X678)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1.803.308,87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Ukupni rashodi i izdaci (šifra Y345)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1.554.804,51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(šifra X005)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248.504,36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 xml:space="preserve">Višak prihoda i primitaka – preneseni (šifra 9221-9222)  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124.029,71</w:t>
            </w:r>
          </w:p>
        </w:tc>
      </w:tr>
      <w:tr>
        <w:trPr>
          <w:trHeight w:val="340"/>
        </w:trPr>
        <w:tc>
          <w:tcPr>
            <w:tcW w:w="7088" w:type="dxa"/>
            <w:shd w:val="clear" w:color="auto" w:fill="auto"/>
            <w:vAlign w:val="center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Višak prihoda i primitaka za sljedeće razdoblje (šifra X006)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0"/>
                <w:lang w:eastAsia="hr-HR"/>
              </w:rPr>
              <w:t>372.534,04</w:t>
            </w:r>
          </w:p>
        </w:tc>
      </w:tr>
      <w:bookmarkEnd w:id="0"/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2023. godini su prihodi poslovanja ostvareni u iznosu od 1.803.308,87 €, odnosno 49,4 % više nego prethodne godine, dok su rashodi poslovanja ostvareni u iznosu od 973.663,63 € odnosno 4,5% više nego prethodne godine. Ovakav rast prihoda odnosi se povećanje prihoda od porezi i prirezi, porez na kuće za odmor i poreza na promet nekretninama. Višak prihoda poslovanja utvrđen za 2023. godinu u iznosu 829.645,24 €.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Prihodi od prodaje nefinancijske imovine ostvarenih u 2023. godini su iznosili 0,00 €. Rashod za nabavu nefinancijske imovine ostvaren u 2023. godini iznosi 511.619,45 € što je smanjenje za 9,5%. Manjak prihoda od nefinancijske imovine ostvaren u 2023. godini iznosi 511.619,45 €, što je u odnosu na 2022. godinu smanjenje za 9,5 %. Ukupni višak prihoda i primitaka u 2022. godini iznosi 124.029,71 €, dok je ostvaren višak prihoda i primitaka u 2023. godini u iznosu od 318.025,79 €. Raspoloživ iznos viška za 2024. godinu iznosi 372.534,04 €.</w:t>
      </w:r>
    </w:p>
    <w:p>
      <w:pPr>
        <w:jc w:val="both"/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POREZA (šifra 61)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 od poreza u 2023. godini iznose 1.247.904,42 € što je povećanje u odnosu na 2022. godinu za 46,1%. Porez i prirez na dohodak (šifra 611) u 2023. godini iznose 941.783,16 € što je povećanje za 49,7% u odnosu na 2022. godinu. Porez na imovinu (613) u 2023. godini iznose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296.252,68 € što je povećanje za 37,6% u odnosu na 2022. godinu. Porez na robu i usluge (šifra 614) u 2023. godini iznose 9.868,58 € što je povećanje za 1,2% u odnosu na 2022. godinu.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POMOĆI IZ INOZEMSTVA I OD SUBJEKATA UNUTAR OPĆEG PRORAČUNA (šifra 63)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Tekuće pomoći proračunu iz drugih proračuna i izvanproračunskim korisnicima (šifra 6331) u 2023. godini iznose 292.819,00 € što je povećanje za 100% u odnosu na 2022. godinu jer su značajno povećani iznosi za fiskalno izravnanje. Kapitalne pomoći proračunu iz drugih proračuna i izvanproračunskim korisnicima (šifra 6332) u 2023. godini iznose 20.000,00 € što je smanjenje za 50,3% u odnosu na 2022. godinu a odnosi se na kapitalne pomoći od Šibensko-kninske županije za izvanredno upravljanje pomorskim dobrom u 2023. godine.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IMOVINE (šifra 64)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imovine ostvareni u 2023. godini iznose 36.015,49 € što je smanjenje za 11,5% u odnosu na 2022. godinu. Naknade za koncesije (šifra 6421) u 2023. godini iznose 8.255,23 € što je smanjenje za 10,2% u odnosu na 2022. godinu. Prihodi od zakupa i iznajmljivanja imovine (šifra 6422) u 2023. godini iznose 27.292,77 € što je smanjenje za 8,3% u odnosu na 2022. godinu, a odnosi se na naknade za korištenje javnih površina. Ostali prihodi od nefinancijske imovine (šifra 6429) u 2023. godini iznose 467,49 € što je smanjenje za 73,5% u odnosu na 2022. godinu a vezano je za prihode od legalizacije.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UPRAVNIH I ADMINISTRATIVNIH PRISTOJBI, PRISTOJBI PO POSEBNIM PROPISIMA I NAKNADA (šifra 65)</w:t>
      </w:r>
    </w:p>
    <w:p>
      <w:p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Prihodi od upravnih i administrativnih pristojbi, pristojbi po posebnim propisima i naknada u 2023. godini iznose 185.676,39 € što je povećanje u odnosu na 2022. godinu za 13,5%. Ostale pristojbe i naknade (šifra 6514) odnosi se na uplate boravišne pristojbe u iznosu od 8.930,87 €, što je povećanje za 0,2% u odnosu na 2022. godinu. Komunalni doprinos (šifra 6531) u 2023. godini iznose 74.576,70 € što je drastično povećanje za 81,6% u odnosu na 2022. godinu, a razlog toga je što Upravni odjel za zaštitu okoliša, prostornog uređenja, gradnju i komunalne poslove brže rješava predmete koji nakon obrade šalju nama u Općinu na izdavanje rješenja komunalnog doprinosa. Komunalna naknada (šifra 6532) u 2023. godini iznosi 102.168,82 € što je smanjenje za 10% u odnosu na 2022. godinu. </w:t>
      </w: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PRIHODI OD PRODAJE PROIZVODA I ROBE TE PRUŽENIH USLUGA, PRIHODI OD DONACIJA TE POVRAT PO PROTESTNIM JAMSTVIMA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(šifra 66)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prodaje proizvoda i robe te pruženih usluga, prihoda od donacija te povrat po protestnim jamstvima u 2023. godini ostvareni su u iznosu od 20.196,83 € što je porast u odnosu na 2022 godinu za 100%. Porast uplata tekućih donacija.</w:t>
      </w:r>
    </w:p>
    <w:p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KAZNE, UPRAVNE MJERE (šifra 68)</w:t>
      </w:r>
    </w:p>
    <w:p>
      <w:pPr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Kazne i upravne mjere ostvarene u 2023. godini iznose 696,74 € što je pad u odnosu na 2022. godinu za 17,2%.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ZAPOSLENE (šifra 31)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u 2023. godini iznose 132.070,85 € što je povećanje u odnosu na 2022. godinu za 10,1%. Ostali rashodi za zaposlene (312) u iznosu od 8.370,10 € što čini povećanje za 100% u odnosu na 2022. godinu, a to se odnosi na isplatu toplog obroka za cijelu godinu.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MATERIJALNI RASHODI (šifra 32)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Materijalni rashodi ostvareni u 2023. godini iznose 500.539,07 € što je smanjenje za 6,7% u odnosu na 2022. godine. Naknade troškova zaposlenima (šifra 321) ostvarena u 2023. godini iznosi 4.242,95 € što je u odnosu na 2022. godinu smanjenje za 45,1%. Rashodi za materijal i energiju (šifra 322) ostvaren u 2023. godini iznosi 61.463,94 € što je smanjenje za 29,6% u odnosu na 2022. godinu. Uredski materijal i ostali materijalni rashodi (šifra 3221) </w:t>
      </w:r>
      <w:r>
        <w:rPr>
          <w:rFonts w:ascii="Times New Roman" w:hAnsi="Times New Roman" w:cs="Times New Roman"/>
          <w:sz w:val="24"/>
          <w:szCs w:val="24"/>
        </w:rPr>
        <w:t>ostvaren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u 2023</w:t>
      </w:r>
      <w:r>
        <w:rPr>
          <w:rFonts w:ascii="Times New Roman" w:hAnsi="Times New Roman" w:cs="Times New Roman"/>
          <w:sz w:val="24"/>
          <w:szCs w:val="24"/>
        </w:rPr>
        <w:t xml:space="preserve">. godini iznose 3.802,76 € </w:t>
      </w:r>
      <w:r>
        <w:rPr>
          <w:rFonts w:ascii="Times New Roman" w:hAnsi="Times New Roman" w:cs="Times New Roman"/>
          <w:sz w:val="24"/>
          <w:szCs w:val="24"/>
        </w:rPr>
        <w:t xml:space="preserve">što je smanjenje za </w:t>
      </w:r>
      <w:r>
        <w:rPr>
          <w:rFonts w:ascii="Times New Roman" w:hAnsi="Times New Roman" w:cs="Times New Roman"/>
          <w:sz w:val="24"/>
          <w:szCs w:val="24"/>
        </w:rPr>
        <w:t>30,5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 Energija (šifra 3223)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55.937,74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31,4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Rashodi za usluge (šifra 323) u 2023. godini je ostvareno 373.811,34 € što je u odnosu na 2022. godinu smanjenje za 4,2% a odnosi se na Usluge telefona, pošte i prijevoza (šifra 3231)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13.523,55</w:t>
      </w:r>
      <w:r>
        <w:rPr>
          <w:rFonts w:ascii="Times New Roman" w:hAnsi="Times New Roman" w:cs="Times New Roman"/>
          <w:sz w:val="24"/>
          <w:szCs w:val="24"/>
        </w:rPr>
        <w:t xml:space="preserve"> € što je </w:t>
      </w:r>
      <w:r>
        <w:rPr>
          <w:rFonts w:ascii="Times New Roman" w:hAnsi="Times New Roman" w:cs="Times New Roman"/>
          <w:sz w:val="24"/>
          <w:szCs w:val="24"/>
        </w:rPr>
        <w:t>povećanje za 10,5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Usluge tekućeg i investicijskog održavanja (šifra 3232)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260.416,62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6,9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Usluge promidžbe i informiranja (šifra 3233)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1.755,53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18,3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Komunalne usluge (šifra 3234)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14.837,32</w:t>
      </w:r>
      <w:r>
        <w:rPr>
          <w:rFonts w:ascii="Times New Roman" w:hAnsi="Times New Roman" w:cs="Times New Roman"/>
          <w:sz w:val="24"/>
          <w:szCs w:val="24"/>
        </w:rPr>
        <w:t xml:space="preserve"> € što je </w:t>
      </w:r>
      <w:r>
        <w:rPr>
          <w:rFonts w:ascii="Times New Roman" w:hAnsi="Times New Roman" w:cs="Times New Roman"/>
          <w:sz w:val="24"/>
          <w:szCs w:val="24"/>
        </w:rPr>
        <w:t>povećanje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37,8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Zakupnine i najamnine (šifra 3235)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13.190,73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13,1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Intelektualne i osobne usluge (šifra 3237)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36.317,53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27,5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Računalne usluge (šifra 3238)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12.304,57</w:t>
      </w:r>
      <w:r>
        <w:rPr>
          <w:rFonts w:ascii="Times New Roman" w:hAnsi="Times New Roman" w:cs="Times New Roman"/>
          <w:sz w:val="24"/>
          <w:szCs w:val="24"/>
        </w:rPr>
        <w:t xml:space="preserve"> € što je smanjenje za </w:t>
      </w:r>
      <w:r>
        <w:rPr>
          <w:rFonts w:ascii="Times New Roman" w:hAnsi="Times New Roman" w:cs="Times New Roman"/>
          <w:sz w:val="24"/>
          <w:szCs w:val="24"/>
        </w:rPr>
        <w:t>3,4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. Ostale usluge (3239)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21.465,49</w:t>
      </w:r>
      <w:r>
        <w:rPr>
          <w:rFonts w:ascii="Times New Roman" w:hAnsi="Times New Roman" w:cs="Times New Roman"/>
          <w:sz w:val="24"/>
          <w:szCs w:val="24"/>
        </w:rPr>
        <w:t xml:space="preserve"> € što je </w:t>
      </w:r>
      <w:r>
        <w:rPr>
          <w:rFonts w:ascii="Times New Roman" w:hAnsi="Times New Roman" w:cs="Times New Roman"/>
          <w:sz w:val="24"/>
          <w:szCs w:val="24"/>
        </w:rPr>
        <w:t>povećanje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  <w:r>
        <w:rPr>
          <w:rFonts w:ascii="Times New Roman" w:hAnsi="Times New Roman" w:cs="Times New Roman"/>
          <w:sz w:val="24"/>
          <w:szCs w:val="24"/>
        </w:rPr>
        <w:t xml:space="preserve"> Ostali nespomenuti rashodi poslovanja (šifra 329) u 2023. godini ostvareno je 61.020,84 € što je povećanje u odnosu na 2022. godinu iznosi 19,4%, a odnosi se na troškove koji se ne mogu svrstati u premiju osiguranja, reprezentaciju i članarine, troškovi poticajne naknade za zbrinjavanje otpada, donacija koje odobrava načelnik.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FINANCIJSKI RASHODI (šifra 34)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Financijski rashodi (šifra 34) iznose u 2023. godini 19.863,93 €, što je povećanje za 38%, u odnosu na 2022. godinu, tu su uračunate i kamate za primljeni dugoročni kredit za financiranje izgradnje zgrade Općine, te troškovi za račun u banci.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NAKNADE GRAĐANIMA I KUĆANSTVIMA NA TEMELJU OSIGURANJA I DRUGE NAKNADE (šifra 37)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Naknade građanima i kućanstvima na temelju osiguranja i druge naknade u 2023. godini iznose 199.497,50 € što je povećanje za 5,3% u odnosu na 2022. godinu. Razlog tome je što su se povećale naknade za novosklopljen brak i za trećerođeno dijete. Te su se davale donacije za teško bolesne građane.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TEKUĆE DONACIJE (šifra 38)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Tekuće donacije u 2023. godini iznose 121.692,18 € što je povećanje u odnosu na 2022. godinu za 69,8%, povećanje se odnosi na donaciju TZ Bilice i DVD Bilice.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RASHODI ZA NABAVU NEPROIZVEDENE DUGOTRAJNE IMOVINE (šifra 41)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neproizvedene dugotrajne imovine u 2023. godini iznosi 17.875,00 € što je smanjenje za 21,9%. 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RASHODI ZA NABAVU PROIZVEDENE DUGOTRAJNE IMOVINE (šifra 42)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Rashodi za nabavu proizvedene dugotrajne imovine u 2023. godini iznose 493.744,45 € to je smanjenje za 9% u odnosu na 2022. godinu. A odnosi se na Građevinske objekte (šifra 421) u iznosu od 468.465,86 €, u to spadaju izgradnja zgrade Općine i ispraćajne kapele na groblju Pomišalj. Postrojenja i oprema (šifra 422) u 2023. godini iznose 21.869,21 € što je povećanje u odnosu na 2022. godinu za 100%. Nematerijalna proizvedena imovina (šifra 426) </w:t>
      </w:r>
      <w:r>
        <w:rPr>
          <w:rFonts w:ascii="Times New Roman" w:hAnsi="Times New Roman" w:cs="Times New Roman"/>
          <w:sz w:val="24"/>
          <w:szCs w:val="24"/>
        </w:rPr>
        <w:t xml:space="preserve">ostvaren u 2023. godini iznosi </w:t>
      </w:r>
      <w:r>
        <w:rPr>
          <w:rFonts w:ascii="Times New Roman" w:hAnsi="Times New Roman" w:cs="Times New Roman"/>
          <w:sz w:val="24"/>
          <w:szCs w:val="24"/>
        </w:rPr>
        <w:t>3.409,38</w:t>
      </w:r>
      <w:r>
        <w:rPr>
          <w:rFonts w:ascii="Times New Roman" w:hAnsi="Times New Roman" w:cs="Times New Roman"/>
          <w:sz w:val="24"/>
          <w:szCs w:val="24"/>
        </w:rPr>
        <w:t xml:space="preserve"> € što je </w:t>
      </w:r>
      <w:r>
        <w:rPr>
          <w:rFonts w:ascii="Times New Roman" w:hAnsi="Times New Roman" w:cs="Times New Roman"/>
          <w:sz w:val="24"/>
          <w:szCs w:val="24"/>
        </w:rPr>
        <w:t>povećanje</w:t>
      </w:r>
      <w:r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>4,5</w:t>
      </w:r>
      <w:r>
        <w:rPr>
          <w:rFonts w:ascii="Times New Roman" w:hAnsi="Times New Roman" w:cs="Times New Roman"/>
          <w:sz w:val="24"/>
          <w:szCs w:val="24"/>
        </w:rPr>
        <w:t>% u odnosu na 2022. godinu</w:t>
      </w:r>
    </w:p>
    <w:p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IZDACI ZA FINANCIJSKU IMOVINU I OTPLATE ZAJMOVA (šifra 5)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Izdaci za otplatu glavnice primljenih kredita i zajmova (šifra 54) iznosi u 2023. godini 69.521,43 €.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BILANCU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NEFINANCIJSKA IMOVINA (šifra B002) bilježi povećanje za 14,6% u odnosu na isto razdoblje prošle godine. Povećanje vrijednosti odnosi se na izgradnju zgrade Općine, na izgradnju šetnice uz obalni pojas Bilica, izgradnja igrališta za djecu i izgradnja ispraćajne kapelice na groblju Pomišalj, te izgradnju ceste Bure-Vrulje.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FINANCIJSKA IMOVINA (šifra 1) novac u banci i blagajni na 31.12.2023. godine iznosi 541.221,95. Taj novac se odnosi na tekuće uplate od porezna, komunalnih i drugih naknada i pomoći.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POTRAŽIVANJA ZA PRIHODE POSLOVANJA (šifra 16) bilježi povećanje za 55,2% u odnosu na isto razdoblje prošle godine.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OBVEZE (šifra 2) ostvarene u 2023. godini iznose 648.648,44 € što čini smanjenje za 13,7% u odnosu na 2022. godinu. 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Izvanbilančni zapis (šifra 991 i 996) odnosi se na potencijalne obveze po osnovi sudskih sporova, vodi se parnični postupak vezano za zemljište na kojem je izgrađeno groblje, procijenjena vrijednost iznosi 149.750,00 €.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PROMJENAMA U VRIJEDNOSTI I OBUJMU IMOVINE I OBVEZA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obrascu P-VRIO evidentirane su sljedeće promjene: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Šifra 9151 Promjena u vrijednosti i obujmu imovine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4371"/>
        <w:gridCol w:w="1296"/>
        <w:gridCol w:w="2269"/>
        <w:gridCol w:w="1415"/>
      </w:tblGrid>
      <w:tr>
        <w:tc>
          <w:tcPr>
            <w:tcW w:w="4371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stavke</w:t>
            </w:r>
          </w:p>
        </w:tc>
        <w:tc>
          <w:tcPr>
            <w:tcW w:w="1296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Iznos</w:t>
            </w:r>
          </w:p>
        </w:tc>
        <w:tc>
          <w:tcPr>
            <w:tcW w:w="2269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Smanjenje/povećanje</w:t>
            </w:r>
          </w:p>
        </w:tc>
        <w:tc>
          <w:tcPr>
            <w:tcW w:w="141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ŠIFRA</w:t>
            </w:r>
          </w:p>
        </w:tc>
      </w:tr>
      <w:tr>
        <w:tc>
          <w:tcPr>
            <w:tcW w:w="4371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Promjena u vrijednosti proizvedene dugotrajna imovina</w:t>
            </w:r>
          </w:p>
        </w:tc>
        <w:tc>
          <w:tcPr>
            <w:tcW w:w="1296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1.365,89</w:t>
            </w:r>
          </w:p>
        </w:tc>
        <w:tc>
          <w:tcPr>
            <w:tcW w:w="2269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Povećanje</w:t>
            </w:r>
          </w:p>
        </w:tc>
        <w:tc>
          <w:tcPr>
            <w:tcW w:w="141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P003</w:t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Promjena u vrijednosti imovine proizvedene dugotrajne imovine odnosi se na doniranu računalnu opremu od Ministarstva prostornog uređenja, graditeljstva i državne imovine.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IZVJEŠTAJ O RASHODIMA PREMA FUNKCIJSKOJ KLASIFIKACIJI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obrascu RAS-funkcijski iskazani su rashodi razreda 3 i 4 prema funkcijama za koje su utrošeni te rashodi za zahtjeve korisnika plaćene iz izvora. Iznosi navedeni u Obrascu RAS-funkcijski odgovaraju ukupno iskazanim rashodima u Obrascu PR-RAS na šifri 3 Rashodi poslovanja, uvećani za iznos šifre 4 Rashodi za nabavu nefinancijske imovine u ukupnom iznosu od 1.485.283,08 €.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BILJEŠKE UZ IZVEŠTAJ O OBVEZAMA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Stanje obveza na kraju izvještajnog razdoblja na 31.12.2023. iznosi 648.648,44 €. Dijele se na dospjele i nedospjele obveze. Stanje dospjelih obveza rashoda poslovanja i obveza za nabavu nefinancijske imovine iznosi 156.316,86 €. Stanje nedospjelih obveza za nabavu nefinancijske imovine i obveza za financijsku imovinu iznose 492.331,58 €.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Bilicama, 14. veljače 2023.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Osoba za kontakt: Antonija Erceg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Telefon: 022/310-599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NAČELNIK</w:t>
      </w:r>
    </w:p>
    <w:p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Josip Ćaleta Car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A339B8"/>
    <w:multiLevelType w:val="hybridMultilevel"/>
    <w:tmpl w:val="9990A65E"/>
    <w:lvl w:ilvl="0" w:tplc="E3FE40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1230C"/>
    <w:multiLevelType w:val="hybridMultilevel"/>
    <w:tmpl w:val="250800A2"/>
    <w:lvl w:ilvl="0" w:tplc="0E3A13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B20BF"/>
    <w:multiLevelType w:val="hybridMultilevel"/>
    <w:tmpl w:val="CE82F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06E0F"/>
    <w:multiLevelType w:val="hybridMultilevel"/>
    <w:tmpl w:val="4F04BB92"/>
    <w:lvl w:ilvl="0" w:tplc="ACCCC222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DDC42-7CFA-47EF-9657-3C414F5D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5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dcterms:created xsi:type="dcterms:W3CDTF">2024-02-14T06:13:00Z</dcterms:created>
  <dcterms:modified xsi:type="dcterms:W3CDTF">2024-02-14T09:57:00Z</dcterms:modified>
</cp:coreProperties>
</file>