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tabs>
          <w:tab w:val="left" w:pos="8021"/>
        </w:tabs>
        <w:spacing w:after="0"/>
        <w:ind w:left="-180"/>
        <w:rPr>
          <w:sz w:val="22"/>
          <w:szCs w:val="22"/>
        </w:rPr>
      </w:pPr>
      <w:hyperlink r:id="rId4" w:tgtFrame="_top" w:history="1">
        <w:r>
          <w:rPr>
            <w:rStyle w:val="Hiperveza"/>
            <w:color w:val="auto"/>
            <w:sz w:val="22"/>
            <w:szCs w:val="22"/>
            <w:u w:val="none"/>
          </w:rPr>
          <w:t xml:space="preserve">                            </w:t>
        </w:r>
        <w:r>
          <w:rPr>
            <w:noProof/>
            <w:color w:val="0000CC"/>
            <w:sz w:val="22"/>
            <w:szCs w:val="22"/>
          </w:rPr>
          <w:drawing>
            <wp:inline distT="0" distB="0" distL="0" distR="0">
              <wp:extent cx="523875" cy="619125"/>
              <wp:effectExtent l="0" t="0" r="9525" b="9525"/>
              <wp:docPr id="185" name="Slika 185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5" r:link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/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REPUBLIKA HRVATSKA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ŠIBENSKO-KNINSKA ŽUPANIJA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OPĆINA BILICE</w:t>
      </w:r>
    </w:p>
    <w:p>
      <w:pPr>
        <w:tabs>
          <w:tab w:val="left" w:pos="8021"/>
        </w:tabs>
        <w:spacing w:after="0"/>
        <w:ind w:left="-1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OPĆINSKI NAČELNIK</w:t>
      </w:r>
    </w:p>
    <w:p>
      <w:r>
        <w:br/>
      </w:r>
    </w:p>
    <w:p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>
      <w:pPr>
        <w:spacing w:line="240" w:lineRule="auto"/>
        <w:jc w:val="center"/>
      </w:pPr>
      <w:r>
        <w:rPr>
          <w:b/>
          <w:sz w:val="28"/>
        </w:rPr>
        <w:t>ZA RAZDOBLJE</w:t>
      </w:r>
    </w:p>
    <w:p>
      <w:pPr>
        <w:spacing w:line="240" w:lineRule="auto"/>
        <w:jc w:val="center"/>
      </w:pPr>
      <w:r>
        <w:rPr>
          <w:b/>
          <w:sz w:val="28"/>
        </w:rPr>
        <w:t>I - III 2026.</w:t>
      </w:r>
    </w:p>
    <w:p/>
    <w:p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701.431,76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1.118.568,81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159,5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352.979,60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448.390,85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127,0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348.452,16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670.177,96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192,3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102.564,59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309.911,75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302,2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102.564,59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309.911,75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302,2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18.960,39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18.960,39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18.960,39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18.960,39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226.927,18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341.305,82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150,4</w:t>
            </w:r>
          </w:p>
        </w:tc>
      </w:tr>
    </w:tbl>
    <w:p>
      <w:pPr>
        <w:spacing w:after="0"/>
      </w:pPr>
    </w:p>
    <w:p>
      <w:r>
        <w:t xml:space="preserve">U razdoblju od 01.01.2026 do 31.03.2026. godini su prihodi poslovanja ostvareni u iznosu od 1.118.568,81 €, odnosno 59,5% više nego prethodne godine u istom razdoblju, dok su rashodi </w:t>
      </w:r>
      <w:r>
        <w:lastRenderedPageBreak/>
        <w:t>poslovanja ostvareni u istom razdoblju u iznosu od 448.390,85 € odnosno 27% više nego prethodne godine u istom razdoblju. </w:t>
      </w:r>
    </w:p>
    <w:p>
      <w:r>
        <w:t>Manjak prihoda od nefinancijske imovine ostvaren u prvom tromjesečju ove godine iznosi 309.911,75 €, što je u odnosu na 2025. godinu za isto razdoblje više za 100%. U 2025. godini godini ostvaren je višak prihoda i primitaka u iznosu od 1.7360.687,35 € koji će biti uložen u izgradnju zgrade DVD-, izgradnju zgrade škole, izgradnju i uređenje obalnog pojasa.</w:t>
      </w:r>
    </w:p>
    <w:p>
      <w:r>
        <w:br/>
      </w:r>
    </w:p>
    <w:p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Stalni porezi na nepokretnu imovinu (zemlju, zgrade, kuće i ostalo)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7.604,04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19.871,64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261,3</w:t>
            </w:r>
          </w:p>
        </w:tc>
      </w:tr>
    </w:tbl>
    <w:p>
      <w:pPr>
        <w:spacing w:after="0"/>
      </w:pPr>
    </w:p>
    <w:p>
      <w:r>
        <w:t>Radi se o povećanju zbog uplata poreza na nekretnine čija su rješenja izdana u 9 mjesec 2025 godine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Povremeni porezi na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48.842,04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86.805,96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177,7</w:t>
            </w:r>
          </w:p>
        </w:tc>
      </w:tr>
    </w:tbl>
    <w:p>
      <w:pPr>
        <w:spacing w:after="0"/>
      </w:pPr>
    </w:p>
    <w:p>
      <w:r>
        <w:t>radi se o uplatama poreza na promet nekretnina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od međunarodnih organizacija te institucija i tijela EU (šifre 6321 do 6324)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116.050,68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EU sredstva -IP.3.1.04.0001</w:t>
      </w:r>
    </w:p>
    <w:p/>
    <w:p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178.568,94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57.107,15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32,0</w:t>
            </w:r>
          </w:p>
        </w:tc>
      </w:tr>
    </w:tbl>
    <w:p>
      <w:pPr>
        <w:spacing w:after="0"/>
      </w:pPr>
    </w:p>
    <w:p>
      <w:r>
        <w:t>U prvom tromjesečju je zabilježen manji priljeve sredstava za komunalni doprinos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29.754,42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155.675,31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523,2</w:t>
            </w:r>
          </w:p>
        </w:tc>
      </w:tr>
    </w:tbl>
    <w:p>
      <w:pPr>
        <w:spacing w:after="0"/>
      </w:pPr>
    </w:p>
    <w:p>
      <w:r>
        <w:t>Povećanje se radi o otplati dugovanja najvećeg dužnika DALMAGARANT.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212.449,97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>
      <w:pPr>
        <w:spacing w:after="0"/>
      </w:pPr>
    </w:p>
    <w:p>
      <w:r>
        <w:t>naplaćene su kamate najvećeg dužnika DALMAGARANT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1.820,12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6.758,71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371,3</w:t>
            </w:r>
          </w:p>
        </w:tc>
      </w:tr>
    </w:tbl>
    <w:p>
      <w:pPr>
        <w:spacing w:after="0"/>
      </w:pPr>
    </w:p>
    <w:p>
      <w:r>
        <w:t>stavka je povećana zbog povećanih troškova prijevoza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55.598,12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68.538,70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123,3</w:t>
            </w:r>
          </w:p>
        </w:tc>
      </w:tr>
    </w:tbl>
    <w:p>
      <w:pPr>
        <w:spacing w:after="0"/>
      </w:pPr>
    </w:p>
    <w:p>
      <w:r>
        <w:lastRenderedPageBreak/>
        <w:t>povećani troškovi tekućeg i investicijskog održavanja, ali u sklopu ugovornih obveza 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52.650,00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107.440,00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204,1</w:t>
            </w:r>
          </w:p>
        </w:tc>
      </w:tr>
    </w:tbl>
    <w:p>
      <w:pPr>
        <w:spacing w:after="0"/>
      </w:pPr>
    </w:p>
    <w:p>
      <w:r>
        <w:t>Radi se o računima za dječje vrtiće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Građevinski objekti (šifre 4211 do 4214)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81.020,73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275.314,34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339,8</w:t>
            </w:r>
          </w:p>
        </w:tc>
      </w:tr>
    </w:tbl>
    <w:p>
      <w:pPr>
        <w:spacing w:after="0"/>
      </w:pPr>
    </w:p>
    <w:p>
      <w:r>
        <w:t>Izgradnja DVD-a i  izgradnja dječjeg igrališta 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543,86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10.279,91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1890,2</w:t>
            </w:r>
          </w:p>
        </w:tc>
      </w:tr>
    </w:tbl>
    <w:p>
      <w:pPr>
        <w:spacing w:after="0"/>
      </w:pPr>
    </w:p>
    <w:p>
      <w:r>
        <w:t>Nabavljeni suncobrani za plaže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Sportska i glazbena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7.662,50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Oprema za dječje igralište u Mikulandrama</w:t>
      </w:r>
    </w:p>
    <w:p/>
    <w:p>
      <w:pPr>
        <w:keepNext/>
        <w:spacing w:line="240" w:lineRule="auto"/>
        <w:jc w:val="center"/>
      </w:pPr>
      <w:r>
        <w:rPr>
          <w:sz w:val="28"/>
        </w:rPr>
        <w:lastRenderedPageBreak/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Ulaganja u računalne programe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3.155,00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Izrada nove web stranice Općine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otplatu glavnice primljenih kredita i zajmova (šifre 541+542+543+544+545+547)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18.960,39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18.960,39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>
      <w:pPr>
        <w:spacing w:after="0"/>
      </w:pPr>
    </w:p>
    <w:p>
      <w:r>
        <w:t>Radi se o otplati kredita prema planu otplate</w:t>
      </w:r>
    </w:p>
    <w:p/>
    <w:p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49.749,80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>
      <w:pPr>
        <w:spacing w:after="0"/>
      </w:pPr>
    </w:p>
    <w:p>
      <w:r>
        <w:t>Radi se o obvezama za rashode poslovanje -  materijalne rashode, a odnosi se na tekuće i investicijsko održavanje, te računalne usluge, obveze za naknade građanima i kućanstvima - za sufinanciranje dječjih vrtića, te obveze za nefinancijsku imovinu - za nabavu opreme</w:t>
      </w:r>
    </w:p>
    <w:p/>
    <w:p>
      <w:pPr>
        <w:keepNext/>
        <w:spacing w:line="240" w:lineRule="auto"/>
        <w:jc w:val="center"/>
      </w:pPr>
      <w:r>
        <w:rPr>
          <w:sz w:val="28"/>
        </w:rPr>
        <w:t>Bilješka 17.</w:t>
      </w:r>
    </w:p>
    <w:p>
      <w:pPr>
        <w:spacing w:line="240" w:lineRule="auto"/>
        <w:jc w:val="both"/>
      </w:pPr>
      <w:r>
        <w:rPr>
          <w:b/>
        </w:rPr>
        <w:t>EU izvještaj</w:t>
      </w:r>
    </w:p>
    <w:p>
      <w:r>
        <w:t>U 2025. godini počela je izgradnja Vatrogasnog doma, sa Ministarstvom regionalnog razvoja potpisan je ugovor za IP.3.1.04.0001, te je u prvom tromjesečju 2026. godini tražene isplate po ZNS-u, za koje je isplaćen iznos od 116.050,68 €, na temelju predanih računa. Iznos potpore je 85%.</w:t>
      </w:r>
    </w:p>
    <w:p>
      <w:r>
        <w:t> 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NAČELNIK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Ive Ćaleta-Car, bacc.ing.el.</w:t>
      </w:r>
      <w:r>
        <w:t>techn.inf.</w:t>
      </w:r>
    </w:p>
    <w:p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5899D-0620-48A2-8FBA-93F98D87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inet.hr/~ureddrza/Grb-rh%20mali.gif" TargetMode="External"/><Relationship Id="rId5" Type="http://schemas.openxmlformats.org/officeDocument/2006/relationships/image" Target="media/image1.gif"/><Relationship Id="rId4" Type="http://schemas.openxmlformats.org/officeDocument/2006/relationships/hyperlink" Target="http://www.inet.hr/~ureddrza/Grb-rh%20mali.gi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Microsoftov račun</cp:lastModifiedBy>
  <cp:revision>3</cp:revision>
  <dcterms:created xsi:type="dcterms:W3CDTF">2026-04-14T10:50:00Z</dcterms:created>
  <dcterms:modified xsi:type="dcterms:W3CDTF">2026-04-14T11:46:00Z</dcterms:modified>
</cp:coreProperties>
</file>