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>
            <w:pPr>
              <w:spacing w:after="0" w:line="240" w:lineRule="auto"/>
            </w:pPr>
            <w:r>
              <w:t>33886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>
            <w:pPr>
              <w:spacing w:after="0" w:line="240" w:lineRule="auto"/>
            </w:pPr>
            <w:r>
              <w:t>OPĆINA BILICE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>
            <w:pPr>
              <w:spacing w:after="0" w:line="240" w:lineRule="auto"/>
            </w:pPr>
            <w:r>
              <w:t>22</w:t>
            </w:r>
          </w:p>
        </w:tc>
      </w:tr>
    </w:tbl>
    <w:p>
      <w:r>
        <w:br/>
      </w:r>
    </w:p>
    <w:p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>
      <w:pPr>
        <w:spacing w:line="240" w:lineRule="auto"/>
        <w:jc w:val="center"/>
      </w:pPr>
      <w:r>
        <w:rPr>
          <w:b/>
          <w:sz w:val="28"/>
        </w:rPr>
        <w:t>ZA RAZDOBLJE</w:t>
      </w:r>
    </w:p>
    <w:p>
      <w:pPr>
        <w:spacing w:line="240" w:lineRule="auto"/>
        <w:jc w:val="center"/>
      </w:pPr>
      <w:r>
        <w:rPr>
          <w:b/>
          <w:sz w:val="28"/>
        </w:rPr>
        <w:t>I - IX 2026.</w:t>
      </w:r>
    </w:p>
    <w:p/>
    <w:p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1.912.690,96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2.721.771,62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142,3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1.087.920,47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1.277.542,79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824.770,49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1.444.228,83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175,1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482.801,21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1.433.975,97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297,0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482.801,21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1.433.975,97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297,0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56.881,17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56.881,17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56.881,17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56.881,17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46.628,31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U razdoblju od 01.01.2026 do 30.09.2026. godini su prihodi poslovanja ostvareni u iznosu od 2.721.771,62 €, odnosno 42,3% više nego prethodne godine u istom razdoblju, dok su rashodi poslovanja ostvareni u istom razdoblju u iznosu od 1.277.542,79 € odnosno 17,4% više nego prethodne godine u istom razdoblju. </w:t>
      </w:r>
    </w:p>
    <w:p>
      <w:r>
        <w:lastRenderedPageBreak/>
        <w:t>Manjak prihoda od nefinancijske imovine ostvaren u prvom polugodištu ove godine iznosi 1.433.975,97 €, što je u odnosu na 2025. godinu za isto razdoblje više za 100%. Ostvaren je manjak prihoda i primitaka u iznosu od 46.628,31 €.</w:t>
      </w:r>
    </w:p>
    <w:p>
      <w:r>
        <w:br/>
      </w:r>
    </w:p>
    <w:p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od institucija i tijela EU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418.861,35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EU sredstva -IP.3.1.04.0001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214.083,09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>
      <w:pPr>
        <w:spacing w:after="0"/>
      </w:pPr>
    </w:p>
    <w:p>
      <w:r>
        <w:t>naplaćene su kamate najvećeg dužnika DALMAGARANT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211.335,59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276.511,04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130,8</w:t>
            </w:r>
          </w:p>
        </w:tc>
      </w:tr>
    </w:tbl>
    <w:p>
      <w:pPr>
        <w:spacing w:after="0"/>
      </w:pPr>
    </w:p>
    <w:p>
      <w:r>
        <w:t>Radi se o računima za dječje vrtiće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neproizvedene dugotrajne imovine (šifre 411+412)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13.250,00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34.325,00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259,1</w:t>
            </w:r>
          </w:p>
        </w:tc>
      </w:tr>
    </w:tbl>
    <w:p>
      <w:pPr>
        <w:spacing w:after="0"/>
      </w:pPr>
    </w:p>
    <w:p>
      <w:r>
        <w:t>Povećanje se odnosi na izradu pripremne dokumentacije za izgradnju škole, zatim situacije za prostorne planove, te elaborati i idejna rješenja.</w:t>
      </w:r>
    </w:p>
    <w:p/>
    <w:p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948.864,78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Izgradnja zgrade DVD-a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građevinski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158.911,86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315.570,20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198,6</w:t>
            </w:r>
          </w:p>
        </w:tc>
      </w:tr>
    </w:tbl>
    <w:p>
      <w:pPr>
        <w:spacing w:after="0"/>
      </w:pPr>
    </w:p>
    <w:p>
      <w:r>
        <w:t>Odnosi se na izgradnju dječjih igrališta u Novom Naselju i u Carima, izgradnja javne rasvjete.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otplatu glavnice primljenih kredita i zajmova (šifre 541+542+543+544+545+547)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56.881,17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56.881,17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>
      <w:pPr>
        <w:spacing w:after="0"/>
      </w:pPr>
    </w:p>
    <w:p>
      <w:r>
        <w:t>Radi se o otplati kredita prema planu otplate</w:t>
      </w:r>
    </w:p>
    <w:p/>
    <w:p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116.862,22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Odnosi se na dospijeli račun od PROACTIVA za 10. privremenu situaciju čiji je rok dopijeća 30.09.2026. godine, te komunalne usluge čiji je rok dospijeća također do 30.09.2026. godine.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10.</w:t>
      </w:r>
    </w:p>
    <w:p>
      <w:pPr>
        <w:spacing w:line="240" w:lineRule="auto"/>
        <w:jc w:val="both"/>
      </w:pPr>
      <w:r>
        <w:rPr>
          <w:b/>
        </w:rPr>
        <w:t>EU izvještaj</w:t>
      </w:r>
    </w:p>
    <w:p>
      <w:r>
        <w:lastRenderedPageBreak/>
        <w:t>U 2025. godini počela je izgradnja Vatrogasnog doma, sa Ministarstvom regionalnog razvoja potpisan je ugovor za IP.3.1.04.0001, te je u razdoblju od 01.01. do 30.09.2026. godine tražene isplate po ZNS-u, za koje je isplaćen iznos od 418.861,35 €, na temelju predanih računa. Iznos potpore je 85%.</w:t>
      </w:r>
    </w:p>
    <w:p/>
    <w:p>
      <w:pPr>
        <w:ind w:left="4956" w:firstLine="708"/>
      </w:pPr>
      <w:r>
        <w:t>NAČELNIK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Ive Ćaleta-Car, bacc.ing.el.techn.inf.</w:t>
      </w:r>
    </w:p>
    <w:p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614CA-FB4B-4088-B0E8-52EC4753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Microsoftov račun</cp:lastModifiedBy>
  <cp:revision>2</cp:revision>
  <dcterms:created xsi:type="dcterms:W3CDTF">2026-10-14T11:30:00Z</dcterms:created>
  <dcterms:modified xsi:type="dcterms:W3CDTF">2026-10-14T11:30:00Z</dcterms:modified>
</cp:coreProperties>
</file>