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tabs>
          <w:tab w:val="left" w:pos="8021"/>
        </w:tabs>
        <w:spacing w:after="0"/>
        <w:ind w:left="-180"/>
        <w:rPr>
          <w:sz w:val="22"/>
          <w:szCs w:val="22"/>
        </w:rPr>
      </w:pPr>
      <w:r>
        <w:rPr>
          <w:rStyle w:val="Hiperveza"/>
          <w:color w:val="auto"/>
          <w:sz w:val="22"/>
          <w:szCs w:val="22"/>
          <w:u w:val="none"/>
        </w:rPr>
        <w:fldChar w:fldCharType="begin"/>
      </w:r>
      <w:r>
        <w:rPr>
          <w:rStyle w:val="Hiperveza"/>
          <w:color w:val="auto"/>
          <w:sz w:val="22"/>
          <w:szCs w:val="22"/>
          <w:u w:val="none"/>
        </w:rPr>
        <w:instrText xml:space="preserve"> HYPERLINK "http://www.inet.hr/~ureddrza/Grb-rh%20mali.gif" \t "_top" </w:instrText>
      </w:r>
      <w:r>
        <w:rPr>
          <w:rStyle w:val="Hiperveza"/>
          <w:color w:val="auto"/>
          <w:sz w:val="22"/>
          <w:szCs w:val="22"/>
          <w:u w:val="none"/>
        </w:rPr>
        <w:fldChar w:fldCharType="separate"/>
      </w:r>
      <w:r>
        <w:rPr>
          <w:rStyle w:val="Hiperveza"/>
          <w:color w:val="auto"/>
          <w:sz w:val="22"/>
          <w:szCs w:val="22"/>
          <w:u w:val="none"/>
        </w:rPr>
        <w:t xml:space="preserve">                            </w:t>
      </w:r>
      <w:r>
        <w:rPr>
          <w:noProof/>
          <w:color w:val="0000CC"/>
          <w:sz w:val="22"/>
          <w:szCs w:val="22"/>
        </w:rPr>
        <w:drawing>
          <wp:inline distT="0" distB="0" distL="0" distR="0">
            <wp:extent cx="523875" cy="619125"/>
            <wp:effectExtent l="0" t="0" r="9525" b="9525"/>
            <wp:docPr id="185" name="Slika 185" descr="http://www.inet.hr/~ureddrza/Grb-rh%20mal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net.hr/~ureddrza/Grb-rh%20mali.gif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CC"/>
          <w:sz w:val="22"/>
          <w:szCs w:val="22"/>
        </w:rPr>
        <w:fldChar w:fldCharType="end"/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/>
        <w:ind w:left="-18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/>
        <w:ind w:left="-1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REPUBLIKA HRVATSKA</w:t>
      </w:r>
    </w:p>
    <w:p>
      <w:pPr>
        <w:tabs>
          <w:tab w:val="left" w:pos="8021"/>
        </w:tabs>
        <w:spacing w:after="0"/>
        <w:ind w:left="-1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ŠIBENSKO-KNINSKA ŽUPANIJA</w:t>
      </w:r>
    </w:p>
    <w:p>
      <w:pPr>
        <w:tabs>
          <w:tab w:val="left" w:pos="8021"/>
        </w:tabs>
        <w:spacing w:after="0"/>
        <w:ind w:left="-1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OPĆINA BILICE</w:t>
      </w:r>
    </w:p>
    <w:p>
      <w:pPr>
        <w:tabs>
          <w:tab w:val="left" w:pos="8021"/>
        </w:tabs>
        <w:spacing w:after="0"/>
        <w:ind w:left="-1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OPĆINSKI NAČELNIK</w:t>
      </w:r>
    </w:p>
    <w:p>
      <w:r>
        <w:br/>
      </w:r>
    </w:p>
    <w:p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>
      <w:pPr>
        <w:spacing w:line="240" w:lineRule="auto"/>
        <w:jc w:val="center"/>
      </w:pPr>
      <w:r>
        <w:rPr>
          <w:b/>
          <w:sz w:val="28"/>
        </w:rPr>
        <w:t>ZA RAZDOBLJE</w:t>
      </w:r>
    </w:p>
    <w:p>
      <w:pPr>
        <w:spacing w:line="240" w:lineRule="auto"/>
        <w:jc w:val="center"/>
      </w:pPr>
      <w:r>
        <w:rPr>
          <w:b/>
          <w:sz w:val="28"/>
        </w:rPr>
        <w:t>I - VI 2026.</w:t>
      </w:r>
    </w:p>
    <w:p>
      <w:bookmarkStart w:id="0" w:name="_GoBack"/>
      <w:bookmarkEnd w:id="0"/>
    </w:p>
    <w:p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1.241.762,34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1.809.726,75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145,7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731.667,67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861.259,05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117,7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510.094,67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948.467,70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185,9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338.801,11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736.733,81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217,5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338.801,11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736.733,81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217,5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37.920,78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37.920,78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PRIMITAKA OD FINANCIJSKE IMOVINE I ZADUŽIVANJA (šifre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37.920,78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37.920,78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100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133.372,78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173.813,11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130,3</w:t>
            </w:r>
          </w:p>
        </w:tc>
      </w:tr>
    </w:tbl>
    <w:p>
      <w:pPr>
        <w:spacing w:after="0"/>
      </w:pPr>
    </w:p>
    <w:p>
      <w:r>
        <w:t xml:space="preserve">U razdoblju od 01.01.2026 do 30.06.2026. godini su prihodi poslovanja ostvareni u iznosu od 1.809.726,75 €, odnosno 45,7% više nego prethodne godine u istom razdoblju, dok su rashodi </w:t>
      </w:r>
      <w:r>
        <w:lastRenderedPageBreak/>
        <w:t>poslovanja ostvareni u istom razdoblju u iznosu od 861.259,05 € odnosno 17,7% više nego prethodne godine u istom razdoblju. </w:t>
      </w:r>
    </w:p>
    <w:p>
      <w:r>
        <w:t>Manjak prihoda od nefinancijske imovine ostvaren u prvom polugodištu ove godine iznosi 736.733,81 €, što je u odnosu na 2025. godinu za isto razdoblje više za 100%. Ostvaren je višak prihoda i primitaka u iznosu od 173.813,11 € koji će biti uložen u izgradnju zgrade DVD-a, izgradnju zgrade škole, izgradnju i uređenje obalnog pojasa.</w:t>
      </w:r>
    </w:p>
    <w:p>
      <w:r>
        <w:br/>
      </w:r>
    </w:p>
    <w:p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Stalni porezi na nepokretnu imovinu (zemlju, zgrade, kuće i ostalo)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13.572,32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25.468,34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187,6</w:t>
            </w:r>
          </w:p>
        </w:tc>
      </w:tr>
    </w:tbl>
    <w:p>
      <w:pPr>
        <w:spacing w:after="0"/>
      </w:pPr>
    </w:p>
    <w:p>
      <w:r>
        <w:t>Povećanje se odnosi na plaćanje poreza na nekretnine jer su krajem prošle godine izdana rješenja za plaćanje.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6324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pomoći od institucija i tijela EU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287.831,68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>
      <w:pPr>
        <w:spacing w:after="0"/>
      </w:pPr>
    </w:p>
    <w:p>
      <w:r>
        <w:t>EU sredstva -IP.3.1.04.0001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izravnanja za decentralizirane funkcije i fiskalnog izravnanja (šifre 6351 do 6353)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150.978,48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>
      <w:pPr>
        <w:spacing w:after="0"/>
      </w:pPr>
    </w:p>
    <w:p>
      <w:r>
        <w:t>Radi se o udjelu fiskalnog izravnanja</w:t>
      </w:r>
    </w:p>
    <w:p/>
    <w:p>
      <w:pPr>
        <w:keepNext/>
        <w:spacing w:line="240" w:lineRule="auto"/>
        <w:jc w:val="center"/>
      </w:pPr>
      <w:r>
        <w:rPr>
          <w:sz w:val="28"/>
        </w:rPr>
        <w:lastRenderedPageBreak/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Komunalne naknade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74.176,63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209.632,44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282,6</w:t>
            </w:r>
          </w:p>
        </w:tc>
      </w:tr>
    </w:tbl>
    <w:p>
      <w:pPr>
        <w:spacing w:after="0"/>
      </w:pPr>
    </w:p>
    <w:p>
      <w:r>
        <w:t>Povećanje se radi o otplati dugovanja najvećeg dužnika DALMAGARANT.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Kazne, upravne mjere i ostali prihodi (šifre 681+683)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13,59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213.808,15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&gt;&gt;100</w:t>
            </w:r>
          </w:p>
        </w:tc>
      </w:tr>
    </w:tbl>
    <w:p>
      <w:pPr>
        <w:spacing w:after="0"/>
      </w:pPr>
    </w:p>
    <w:p>
      <w:r>
        <w:t>naplaćene su kamate najvećeg dužnika DALMAGARANT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6819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kazne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6819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837,81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>
      <w:pPr>
        <w:spacing w:after="0"/>
      </w:pPr>
    </w:p>
    <w:p>
      <w:r>
        <w:t>Plaćena kazna iz 2022.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prihodi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13,59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212.970,34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&gt;&gt;100</w:t>
            </w:r>
          </w:p>
        </w:tc>
      </w:tr>
    </w:tbl>
    <w:p>
      <w:pPr>
        <w:spacing w:after="0"/>
      </w:pPr>
    </w:p>
    <w:p>
      <w:r>
        <w:t>naplaćene su kamate najvećeg dužnika DALMAGARANT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Zakupnine i najamnine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62,50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375,18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600,3</w:t>
            </w:r>
          </w:p>
        </w:tc>
      </w:tr>
    </w:tbl>
    <w:p>
      <w:pPr>
        <w:spacing w:after="0"/>
      </w:pPr>
    </w:p>
    <w:p>
      <w:r>
        <w:lastRenderedPageBreak/>
        <w:t xml:space="preserve">Porast se </w:t>
      </w:r>
      <w:proofErr w:type="spellStart"/>
      <w:r>
        <w:t>odosi</w:t>
      </w:r>
      <w:proofErr w:type="spellEnd"/>
      <w:r>
        <w:t xml:space="preserve"> na </w:t>
      </w:r>
      <w:proofErr w:type="spellStart"/>
      <w:r>
        <w:t>toška</w:t>
      </w:r>
      <w:proofErr w:type="spellEnd"/>
      <w:r>
        <w:t xml:space="preserve"> najma </w:t>
      </w:r>
      <w:proofErr w:type="spellStart"/>
      <w:r>
        <w:t>koprinog</w:t>
      </w:r>
      <w:proofErr w:type="spellEnd"/>
      <w:r>
        <w:t xml:space="preserve"> aparata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5.950,20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12.874,67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216,4</w:t>
            </w:r>
          </w:p>
        </w:tc>
      </w:tr>
    </w:tbl>
    <w:p>
      <w:pPr>
        <w:spacing w:after="0"/>
      </w:pPr>
    </w:p>
    <w:p>
      <w:r>
        <w:t>Povećanje se odnosi na troškove registracije i servisa vatrogasne robe i vozila dobiveni iz Robnih zaliha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građanima i kućanstvima u novcu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15.537,76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29.788,63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191,7</w:t>
            </w:r>
          </w:p>
        </w:tc>
      </w:tr>
    </w:tbl>
    <w:p>
      <w:pPr>
        <w:spacing w:after="0"/>
      </w:pPr>
    </w:p>
    <w:p>
      <w:r>
        <w:t>Radi se o naknadi za novorođenu djecu i novosklopljene brakove, te izvanškolske aktivnosti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građanima i kućanstvima u naravi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137.445,00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185.800,00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135,2</w:t>
            </w:r>
          </w:p>
        </w:tc>
      </w:tr>
    </w:tbl>
    <w:p>
      <w:pPr>
        <w:spacing w:after="0"/>
      </w:pPr>
    </w:p>
    <w:p>
      <w:r>
        <w:t>Radi se o računima za dječje vrtiće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Rashodi za nabavu </w:t>
            </w:r>
            <w:proofErr w:type="spellStart"/>
            <w:r>
              <w:rPr>
                <w:sz w:val="18"/>
              </w:rPr>
              <w:t>neproizvedene</w:t>
            </w:r>
            <w:proofErr w:type="spellEnd"/>
            <w:r>
              <w:rPr>
                <w:sz w:val="18"/>
              </w:rPr>
              <w:t xml:space="preserve"> dugotrajne imovine (šifre 411+412)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13.250,00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27.456,25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207,2</w:t>
            </w:r>
          </w:p>
        </w:tc>
      </w:tr>
    </w:tbl>
    <w:p>
      <w:pPr>
        <w:spacing w:after="0"/>
      </w:pPr>
    </w:p>
    <w:p>
      <w:r>
        <w:t xml:space="preserve">Povećanje se odnosi na izradu </w:t>
      </w:r>
      <w:proofErr w:type="spellStart"/>
      <w:r>
        <w:t>pripremen</w:t>
      </w:r>
      <w:proofErr w:type="spellEnd"/>
      <w:r>
        <w:t xml:space="preserve"> dokumentacije za izgradnju škole, zatim situacije za </w:t>
      </w:r>
      <w:proofErr w:type="spellStart"/>
      <w:r>
        <w:t>prostoren</w:t>
      </w:r>
      <w:proofErr w:type="spellEnd"/>
      <w:r>
        <w:t xml:space="preserve"> planove, te elaborati</w:t>
      </w:r>
    </w:p>
    <w:p/>
    <w:p>
      <w:pPr>
        <w:keepNext/>
        <w:spacing w:line="240" w:lineRule="auto"/>
        <w:jc w:val="center"/>
      </w:pPr>
      <w:r>
        <w:rPr>
          <w:sz w:val="28"/>
        </w:rPr>
        <w:lastRenderedPageBreak/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Poslovni objekti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400.297,28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>
      <w:pPr>
        <w:spacing w:after="0"/>
      </w:pPr>
    </w:p>
    <w:p>
      <w:r>
        <w:t>Izgradnja zgrade DVD-a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Oprema za održavanje i zaštitu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543,86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10.279,91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1890,2</w:t>
            </w:r>
          </w:p>
        </w:tc>
      </w:tr>
    </w:tbl>
    <w:p>
      <w:pPr>
        <w:spacing w:after="0"/>
      </w:pPr>
    </w:p>
    <w:p>
      <w:r>
        <w:t>Nabavljeni suncobrani za plaže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Sportska i glazbena oprema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7.662,50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>
      <w:pPr>
        <w:spacing w:after="0"/>
      </w:pPr>
    </w:p>
    <w:p>
      <w:r>
        <w:t>Oprema za dječje igralište u Mikulandrama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Nematerijalna proizvedena imovina (šifre 4261 do 4264)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3.155,00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>
      <w:pPr>
        <w:spacing w:after="0"/>
      </w:pPr>
    </w:p>
    <w:p>
      <w:r>
        <w:t>Izrada nove web stranice Općine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otplatu glavnice primljenih kredita i zajmova (šifre 541+542+543+544+545+547)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37.920,78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37.920,78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</w:t>
            </w:r>
          </w:p>
        </w:tc>
      </w:tr>
    </w:tbl>
    <w:p>
      <w:pPr>
        <w:spacing w:after="0"/>
      </w:pPr>
    </w:p>
    <w:p>
      <w:r>
        <w:lastRenderedPageBreak/>
        <w:t>Radi se o otplati kredita prema planu otplate</w:t>
      </w:r>
    </w:p>
    <w:p/>
    <w:p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53.397,46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>
      <w:pPr>
        <w:spacing w:after="0"/>
      </w:pPr>
    </w:p>
    <w:p>
      <w:r>
        <w:t>Radi se o obvezama za rashode poslovanje -  materijalne rashode, a odnosi se na tekuće i investicijsko održavanje, obveze za naknade građanima i kućanstvima - za sufinanciranje dječjih vrtića, te obveze za nefinancijsku imovinu - izgradnja dječjeg igrališta u Novom Naselju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20.</w:t>
      </w:r>
    </w:p>
    <w:p>
      <w:pPr>
        <w:spacing w:line="240" w:lineRule="auto"/>
        <w:jc w:val="both"/>
      </w:pPr>
      <w:r>
        <w:rPr>
          <w:b/>
        </w:rPr>
        <w:t>EU izvještaj</w:t>
      </w:r>
    </w:p>
    <w:p>
      <w:r>
        <w:t>U 2025. godini počela je izgradnja Vatrogasnog doma, sa Ministarstvom regionalnog razvoja potpisan je ugovor za IP.3.1.04.0001, te je u prvom polugodištu 2026. godini tražene isplate po ZNS-u, za koje je isplaćen iznos od 287.831,68 €, na temelju predanih računa. Iznos potpore je 85%.</w:t>
      </w:r>
    </w:p>
    <w:p/>
    <w:p/>
    <w:p/>
    <w:p>
      <w:pPr>
        <w:ind w:left="4956" w:firstLine="708"/>
      </w:pPr>
      <w:r>
        <w:t>NAČELNIK</w:t>
      </w:r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Ive Ćaleta-Car, bacc.ing.el.techn.inf.</w:t>
      </w:r>
    </w:p>
    <w:p/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D4A2B6-93FD-4A4F-85D4-F4300662E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www.inet.hr/~ureddrza/Grb-rh%20mali.gif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1220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Microsoftov račun</cp:lastModifiedBy>
  <cp:revision>2</cp:revision>
  <dcterms:created xsi:type="dcterms:W3CDTF">2026-07-15T05:36:00Z</dcterms:created>
  <dcterms:modified xsi:type="dcterms:W3CDTF">2026-07-15T05:36:00Z</dcterms:modified>
</cp:coreProperties>
</file>