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8021"/>
        </w:tabs>
        <w:spacing w:after="0"/>
        <w:ind w:left="-180"/>
        <w:rPr>
          <w:sz w:val="22"/>
          <w:szCs w:val="22"/>
        </w:rPr>
      </w:pPr>
      <w:hyperlink r:id="rId4" w:tgtFrame="_top" w:history="1">
        <w:r>
          <w:rPr>
            <w:rStyle w:val="Hiperveza"/>
            <w:color w:val="auto"/>
            <w:sz w:val="22"/>
            <w:szCs w:val="22"/>
            <w:u w:val="none"/>
          </w:rPr>
          <w:t xml:space="preserve">                            </w:t>
        </w:r>
        <w:r>
          <w:rPr>
            <w:noProof/>
            <w:color w:val="0000CC"/>
            <w:sz w:val="22"/>
            <w:szCs w:val="22"/>
          </w:rPr>
          <w:drawing>
            <wp:inline distT="0" distB="0" distL="0" distR="0">
              <wp:extent cx="523875" cy="619125"/>
              <wp:effectExtent l="0" t="0" r="9525" b="9525"/>
              <wp:docPr id="185" name="Slika 185" descr="http://www.inet.hr/~ureddrza/Grb-rh%20ma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et.hr/~ureddrza/Grb-rh%20mali.gif"/>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hyperlink>
      <w:r>
        <w:rPr>
          <w:sz w:val="22"/>
          <w:szCs w:val="22"/>
        </w:rPr>
        <w:t xml:space="preserve">                                                                                                                                    </w:t>
      </w:r>
    </w:p>
    <w:p>
      <w:pPr>
        <w:tabs>
          <w:tab w:val="left" w:pos="8021"/>
        </w:tabs>
        <w:spacing w:after="0"/>
        <w:ind w:left="-180"/>
        <w:rPr>
          <w:sz w:val="22"/>
          <w:szCs w:val="22"/>
        </w:rPr>
      </w:pPr>
      <w:r>
        <w:rPr>
          <w:sz w:val="22"/>
          <w:szCs w:val="22"/>
        </w:rPr>
        <w:t xml:space="preserve">                                                                                                                                                             </w:t>
      </w:r>
    </w:p>
    <w:p>
      <w:pPr>
        <w:tabs>
          <w:tab w:val="left" w:pos="8021"/>
        </w:tabs>
        <w:spacing w:after="0"/>
        <w:ind w:left="-180"/>
        <w:rPr>
          <w:b/>
          <w:sz w:val="22"/>
          <w:szCs w:val="22"/>
        </w:rPr>
      </w:pPr>
      <w:r>
        <w:rPr>
          <w:b/>
          <w:sz w:val="22"/>
          <w:szCs w:val="22"/>
        </w:rPr>
        <w:t xml:space="preserve">               REPUBLIKA HRVATSKA</w:t>
      </w:r>
    </w:p>
    <w:p>
      <w:pPr>
        <w:tabs>
          <w:tab w:val="left" w:pos="8021"/>
        </w:tabs>
        <w:spacing w:after="0"/>
        <w:ind w:left="-180"/>
        <w:rPr>
          <w:b/>
          <w:sz w:val="22"/>
          <w:szCs w:val="22"/>
        </w:rPr>
      </w:pPr>
      <w:r>
        <w:rPr>
          <w:b/>
          <w:sz w:val="22"/>
          <w:szCs w:val="22"/>
        </w:rPr>
        <w:t xml:space="preserve">       ŠIBENSKO-KNINSKA ŽUPANIJA</w:t>
      </w:r>
    </w:p>
    <w:p>
      <w:pPr>
        <w:tabs>
          <w:tab w:val="left" w:pos="8021"/>
        </w:tabs>
        <w:spacing w:after="0"/>
        <w:ind w:left="-180"/>
        <w:rPr>
          <w:b/>
          <w:sz w:val="22"/>
          <w:szCs w:val="22"/>
        </w:rPr>
      </w:pPr>
      <w:r>
        <w:rPr>
          <w:b/>
          <w:sz w:val="22"/>
          <w:szCs w:val="22"/>
        </w:rPr>
        <w:t xml:space="preserve">                    OPĆINA BILICE</w:t>
      </w:r>
    </w:p>
    <w:p>
      <w:pPr>
        <w:tabs>
          <w:tab w:val="left" w:pos="8021"/>
        </w:tabs>
        <w:spacing w:after="0"/>
        <w:ind w:left="-180"/>
        <w:rPr>
          <w:b/>
          <w:sz w:val="22"/>
          <w:szCs w:val="22"/>
        </w:rPr>
      </w:pPr>
      <w:r>
        <w:rPr>
          <w:b/>
          <w:sz w:val="22"/>
          <w:szCs w:val="22"/>
        </w:rPr>
        <w:t xml:space="preserve">              OPĆINSKI NAČELNIK</w:t>
      </w:r>
    </w:p>
    <w:p>
      <w:r>
        <w:br/>
      </w:r>
    </w:p>
    <w:p>
      <w:pPr>
        <w:spacing w:line="240" w:lineRule="auto"/>
        <w:jc w:val="center"/>
      </w:pPr>
      <w:r>
        <w:rPr>
          <w:b/>
          <w:sz w:val="28"/>
        </w:rPr>
        <w:t>BILJEŠKE UZ FINANCIJSKE IZVJEŠTAJE</w:t>
      </w:r>
    </w:p>
    <w:p>
      <w:pPr>
        <w:spacing w:line="240" w:lineRule="auto"/>
        <w:jc w:val="center"/>
      </w:pPr>
      <w:r>
        <w:rPr>
          <w:b/>
          <w:sz w:val="28"/>
        </w:rPr>
        <w:t>ZA RAZDOBLJE</w:t>
      </w:r>
    </w:p>
    <w:p>
      <w:pPr>
        <w:spacing w:line="240" w:lineRule="auto"/>
        <w:jc w:val="center"/>
      </w:pPr>
      <w:r>
        <w:rPr>
          <w:b/>
          <w:sz w:val="28"/>
        </w:rPr>
        <w:t>I - XII 2025.</w:t>
      </w:r>
    </w:p>
    <w:p/>
    <w:p>
      <w:pPr>
        <w:keepNext/>
        <w:spacing w:line="240" w:lineRule="auto"/>
        <w:jc w:val="center"/>
      </w:pPr>
      <w:r>
        <w:rPr>
          <w:b/>
          <w:sz w:val="28"/>
        </w:rPr>
        <w:t>Izvještaj o prihodima i rashodima, primicima i izdacima</w:t>
      </w:r>
    </w:p>
    <w:p>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w:t>
            </w:r>
          </w:p>
        </w:tc>
        <w:tc>
          <w:tcPr>
            <w:tcW w:w="3180" w:type="dxa"/>
            <w:tcMar>
              <w:top w:w="0" w:type="dxa"/>
              <w:bottom w:w="0" w:type="dxa"/>
            </w:tcMar>
            <w:vAlign w:val="center"/>
          </w:tcPr>
          <w:p>
            <w:pPr>
              <w:keepNext/>
              <w:keepLines/>
              <w:spacing w:after="0" w:line="240" w:lineRule="auto"/>
            </w:pPr>
            <w:r>
              <w:rPr>
                <w:sz w:val="18"/>
              </w:rPr>
              <w:t>PRIHODI POSLOVANJA (šifre 61+62+63+64+65+66+67+68)</w:t>
            </w:r>
          </w:p>
        </w:tc>
        <w:tc>
          <w:tcPr>
            <w:tcW w:w="700" w:type="dxa"/>
            <w:tcMar>
              <w:top w:w="0" w:type="dxa"/>
              <w:bottom w:w="0" w:type="dxa"/>
            </w:tcMar>
            <w:vAlign w:val="center"/>
          </w:tcPr>
          <w:p>
            <w:pPr>
              <w:keepNext/>
              <w:keepLines/>
              <w:spacing w:after="0" w:line="240" w:lineRule="auto"/>
            </w:pPr>
            <w:r>
              <w:rPr>
                <w:sz w:val="18"/>
              </w:rPr>
              <w:t>6</w:t>
            </w:r>
          </w:p>
        </w:tc>
        <w:tc>
          <w:tcPr>
            <w:tcW w:w="1860" w:type="dxa"/>
            <w:tcMar>
              <w:top w:w="0" w:type="dxa"/>
              <w:bottom w:w="0" w:type="dxa"/>
            </w:tcMar>
            <w:vAlign w:val="center"/>
          </w:tcPr>
          <w:p>
            <w:pPr>
              <w:keepNext/>
              <w:keepLines/>
              <w:spacing w:after="0" w:line="240" w:lineRule="auto"/>
              <w:jc w:val="right"/>
            </w:pPr>
            <w:r>
              <w:rPr>
                <w:sz w:val="18"/>
              </w:rPr>
              <w:t>2.099.808,96</w:t>
            </w:r>
          </w:p>
        </w:tc>
        <w:tc>
          <w:tcPr>
            <w:tcW w:w="1860" w:type="dxa"/>
            <w:tcMar>
              <w:top w:w="0" w:type="dxa"/>
              <w:bottom w:w="0" w:type="dxa"/>
            </w:tcMar>
            <w:vAlign w:val="center"/>
          </w:tcPr>
          <w:p>
            <w:pPr>
              <w:keepNext/>
              <w:keepLines/>
              <w:spacing w:after="0" w:line="240" w:lineRule="auto"/>
              <w:jc w:val="right"/>
            </w:pPr>
            <w:r>
              <w:rPr>
                <w:sz w:val="18"/>
              </w:rPr>
              <w:t>2.803.088,96</w:t>
            </w:r>
          </w:p>
        </w:tc>
        <w:tc>
          <w:tcPr>
            <w:tcW w:w="700" w:type="dxa"/>
            <w:tcMar>
              <w:top w:w="0" w:type="dxa"/>
              <w:bottom w:w="0" w:type="dxa"/>
            </w:tcMar>
            <w:vAlign w:val="center"/>
          </w:tcPr>
          <w:p>
            <w:pPr>
              <w:keepNext/>
              <w:keepLines/>
              <w:spacing w:after="0" w:line="240" w:lineRule="auto"/>
              <w:jc w:val="right"/>
            </w:pPr>
            <w:r>
              <w:rPr>
                <w:sz w:val="18"/>
              </w:rPr>
              <w:t>133,5</w:t>
            </w:r>
          </w:p>
        </w:tc>
      </w:tr>
      <w:tr>
        <w:trPr>
          <w:cantSplit/>
          <w:trHeight w:val="560"/>
        </w:trPr>
        <w:tc>
          <w:tcPr>
            <w:tcW w:w="700" w:type="dxa"/>
            <w:tcMar>
              <w:top w:w="0" w:type="dxa"/>
              <w:bottom w:w="0" w:type="dxa"/>
            </w:tcMar>
            <w:vAlign w:val="center"/>
          </w:tcPr>
          <w:p>
            <w:pPr>
              <w:keepNext/>
              <w:keepLines/>
              <w:spacing w:after="0" w:line="240" w:lineRule="auto"/>
            </w:pPr>
            <w:r>
              <w:rPr>
                <w:sz w:val="18"/>
              </w:rPr>
              <w:t>3</w:t>
            </w:r>
          </w:p>
        </w:tc>
        <w:tc>
          <w:tcPr>
            <w:tcW w:w="3180" w:type="dxa"/>
            <w:tcMar>
              <w:top w:w="0" w:type="dxa"/>
              <w:bottom w:w="0" w:type="dxa"/>
            </w:tcMar>
            <w:vAlign w:val="center"/>
          </w:tcPr>
          <w:p>
            <w:pPr>
              <w:keepNext/>
              <w:keepLines/>
              <w:spacing w:after="0" w:line="240" w:lineRule="auto"/>
            </w:pPr>
            <w:r>
              <w:rPr>
                <w:sz w:val="18"/>
              </w:rPr>
              <w:t>RASHODI POSLOVANJA (šifre 31+32+34+35+36+37+38)</w:t>
            </w:r>
          </w:p>
        </w:tc>
        <w:tc>
          <w:tcPr>
            <w:tcW w:w="700" w:type="dxa"/>
            <w:tcMar>
              <w:top w:w="0" w:type="dxa"/>
              <w:bottom w:w="0" w:type="dxa"/>
            </w:tcMar>
            <w:vAlign w:val="center"/>
          </w:tcPr>
          <w:p>
            <w:pPr>
              <w:keepNext/>
              <w:keepLines/>
              <w:spacing w:after="0" w:line="240" w:lineRule="auto"/>
            </w:pPr>
            <w:r>
              <w:rPr>
                <w:sz w:val="18"/>
              </w:rPr>
              <w:t>3</w:t>
            </w:r>
          </w:p>
        </w:tc>
        <w:tc>
          <w:tcPr>
            <w:tcW w:w="1860" w:type="dxa"/>
            <w:tcMar>
              <w:top w:w="0" w:type="dxa"/>
              <w:bottom w:w="0" w:type="dxa"/>
            </w:tcMar>
            <w:vAlign w:val="center"/>
          </w:tcPr>
          <w:p>
            <w:pPr>
              <w:keepNext/>
              <w:keepLines/>
              <w:spacing w:after="0" w:line="240" w:lineRule="auto"/>
              <w:jc w:val="right"/>
            </w:pPr>
            <w:r>
              <w:rPr>
                <w:sz w:val="18"/>
              </w:rPr>
              <w:t>982.426,85</w:t>
            </w:r>
          </w:p>
        </w:tc>
        <w:tc>
          <w:tcPr>
            <w:tcW w:w="1860" w:type="dxa"/>
            <w:tcMar>
              <w:top w:w="0" w:type="dxa"/>
              <w:bottom w:w="0" w:type="dxa"/>
            </w:tcMar>
            <w:vAlign w:val="center"/>
          </w:tcPr>
          <w:p>
            <w:pPr>
              <w:keepNext/>
              <w:keepLines/>
              <w:spacing w:after="0" w:line="240" w:lineRule="auto"/>
              <w:jc w:val="right"/>
            </w:pPr>
            <w:r>
              <w:rPr>
                <w:sz w:val="18"/>
              </w:rPr>
              <w:t>1.494.042,25</w:t>
            </w:r>
          </w:p>
        </w:tc>
        <w:tc>
          <w:tcPr>
            <w:tcW w:w="700" w:type="dxa"/>
            <w:tcMar>
              <w:top w:w="0" w:type="dxa"/>
              <w:bottom w:w="0" w:type="dxa"/>
            </w:tcMar>
            <w:vAlign w:val="center"/>
          </w:tcPr>
          <w:p>
            <w:pPr>
              <w:keepNext/>
              <w:keepLines/>
              <w:spacing w:after="0" w:line="240" w:lineRule="auto"/>
              <w:jc w:val="right"/>
            </w:pPr>
            <w:r>
              <w:rPr>
                <w:sz w:val="18"/>
              </w:rPr>
              <w:t>152,1</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b/>
                <w:sz w:val="18"/>
              </w:rPr>
              <w:t>VIŠAK PRIHODA POSLOVANJA (šifre 6-Z005)</w:t>
            </w:r>
          </w:p>
        </w:tc>
        <w:tc>
          <w:tcPr>
            <w:tcW w:w="700" w:type="dxa"/>
            <w:tcMar>
              <w:top w:w="0" w:type="dxa"/>
              <w:bottom w:w="0" w:type="dxa"/>
            </w:tcMar>
            <w:vAlign w:val="center"/>
          </w:tcPr>
          <w:p>
            <w:pPr>
              <w:keepNext/>
              <w:keepLines/>
              <w:spacing w:after="0" w:line="240" w:lineRule="auto"/>
            </w:pPr>
            <w:r>
              <w:rPr>
                <w:b/>
                <w:sz w:val="18"/>
              </w:rPr>
              <w:t>X001</w:t>
            </w:r>
          </w:p>
        </w:tc>
        <w:tc>
          <w:tcPr>
            <w:tcW w:w="1860" w:type="dxa"/>
            <w:tcMar>
              <w:top w:w="0" w:type="dxa"/>
              <w:bottom w:w="0" w:type="dxa"/>
            </w:tcMar>
            <w:vAlign w:val="center"/>
          </w:tcPr>
          <w:p>
            <w:pPr>
              <w:keepNext/>
              <w:keepLines/>
              <w:spacing w:after="0" w:line="240" w:lineRule="auto"/>
              <w:jc w:val="right"/>
            </w:pPr>
            <w:r>
              <w:rPr>
                <w:b/>
                <w:sz w:val="18"/>
              </w:rPr>
              <w:t>1.117.382,11</w:t>
            </w:r>
          </w:p>
        </w:tc>
        <w:tc>
          <w:tcPr>
            <w:tcW w:w="1860" w:type="dxa"/>
            <w:tcMar>
              <w:top w:w="0" w:type="dxa"/>
              <w:bottom w:w="0" w:type="dxa"/>
            </w:tcMar>
            <w:vAlign w:val="center"/>
          </w:tcPr>
          <w:p>
            <w:pPr>
              <w:keepNext/>
              <w:keepLines/>
              <w:spacing w:after="0" w:line="240" w:lineRule="auto"/>
              <w:jc w:val="right"/>
            </w:pPr>
            <w:r>
              <w:rPr>
                <w:b/>
                <w:sz w:val="18"/>
              </w:rPr>
              <w:t>1.309.046,71</w:t>
            </w:r>
          </w:p>
        </w:tc>
        <w:tc>
          <w:tcPr>
            <w:tcW w:w="700" w:type="dxa"/>
            <w:tcMar>
              <w:top w:w="0" w:type="dxa"/>
              <w:bottom w:w="0" w:type="dxa"/>
            </w:tcMar>
            <w:vAlign w:val="center"/>
          </w:tcPr>
          <w:p>
            <w:pPr>
              <w:keepNext/>
              <w:keepLines/>
              <w:spacing w:after="0" w:line="240" w:lineRule="auto"/>
              <w:jc w:val="right"/>
            </w:pPr>
            <w:r>
              <w:rPr>
                <w:b/>
                <w:sz w:val="18"/>
              </w:rPr>
              <w:t>117,2</w:t>
            </w:r>
          </w:p>
        </w:tc>
      </w:tr>
      <w:tr>
        <w:trPr>
          <w:cantSplit/>
          <w:trHeight w:val="560"/>
        </w:trPr>
        <w:tc>
          <w:tcPr>
            <w:tcW w:w="700" w:type="dxa"/>
            <w:tcMar>
              <w:top w:w="0" w:type="dxa"/>
              <w:bottom w:w="0" w:type="dxa"/>
            </w:tcMar>
            <w:vAlign w:val="center"/>
          </w:tcPr>
          <w:p>
            <w:pPr>
              <w:keepNext/>
              <w:keepLines/>
              <w:spacing w:after="0" w:line="240" w:lineRule="auto"/>
            </w:pPr>
            <w:r>
              <w:rPr>
                <w:sz w:val="18"/>
              </w:rPr>
              <w:t>7</w:t>
            </w:r>
          </w:p>
        </w:tc>
        <w:tc>
          <w:tcPr>
            <w:tcW w:w="3180" w:type="dxa"/>
            <w:tcMar>
              <w:top w:w="0" w:type="dxa"/>
              <w:bottom w:w="0" w:type="dxa"/>
            </w:tcMar>
            <w:vAlign w:val="center"/>
          </w:tcPr>
          <w:p>
            <w:pPr>
              <w:keepNext/>
              <w:keepLines/>
              <w:spacing w:after="0" w:line="240" w:lineRule="auto"/>
            </w:pPr>
            <w:r>
              <w:rPr>
                <w:sz w:val="18"/>
              </w:rPr>
              <w:t>Prihodi od prodaje nefinancijske imovine (šifre 71+72+73+74)</w:t>
            </w:r>
          </w:p>
        </w:tc>
        <w:tc>
          <w:tcPr>
            <w:tcW w:w="700" w:type="dxa"/>
            <w:tcMar>
              <w:top w:w="0" w:type="dxa"/>
              <w:bottom w:w="0" w:type="dxa"/>
            </w:tcMar>
            <w:vAlign w:val="center"/>
          </w:tcPr>
          <w:p>
            <w:pPr>
              <w:keepNext/>
              <w:keepLines/>
              <w:spacing w:after="0" w:line="240" w:lineRule="auto"/>
            </w:pPr>
            <w:r>
              <w:rPr>
                <w:sz w:val="18"/>
              </w:rPr>
              <w:t>7</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0,00</w:t>
            </w:r>
          </w:p>
        </w:tc>
        <w:tc>
          <w:tcPr>
            <w:tcW w:w="700" w:type="dxa"/>
            <w:tcMar>
              <w:top w:w="0" w:type="dxa"/>
              <w:bottom w:w="0" w:type="dxa"/>
            </w:tcMar>
            <w:vAlign w:val="center"/>
          </w:tcPr>
          <w:p>
            <w:pPr>
              <w:keepNext/>
              <w:keepLines/>
              <w:spacing w:after="0" w:line="240" w:lineRule="auto"/>
              <w:jc w:val="right"/>
            </w:pPr>
            <w:r>
              <w:rPr>
                <w:sz w:val="18"/>
              </w:rPr>
              <w:t>-</w:t>
            </w:r>
          </w:p>
        </w:tc>
      </w:tr>
      <w:tr>
        <w:trPr>
          <w:cantSplit/>
          <w:trHeight w:val="560"/>
        </w:trPr>
        <w:tc>
          <w:tcPr>
            <w:tcW w:w="700" w:type="dxa"/>
            <w:tcMar>
              <w:top w:w="0" w:type="dxa"/>
              <w:bottom w:w="0" w:type="dxa"/>
            </w:tcMar>
            <w:vAlign w:val="center"/>
          </w:tcPr>
          <w:p>
            <w:pPr>
              <w:keepNext/>
              <w:keepLines/>
              <w:spacing w:after="0" w:line="240" w:lineRule="auto"/>
            </w:pPr>
            <w:r>
              <w:rPr>
                <w:sz w:val="18"/>
              </w:rPr>
              <w:t>4</w:t>
            </w:r>
          </w:p>
        </w:tc>
        <w:tc>
          <w:tcPr>
            <w:tcW w:w="3180" w:type="dxa"/>
            <w:tcMar>
              <w:top w:w="0" w:type="dxa"/>
              <w:bottom w:w="0" w:type="dxa"/>
            </w:tcMar>
            <w:vAlign w:val="center"/>
          </w:tcPr>
          <w:p>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pPr>
              <w:keepNext/>
              <w:keepLines/>
              <w:spacing w:after="0" w:line="240" w:lineRule="auto"/>
            </w:pPr>
            <w:r>
              <w:rPr>
                <w:sz w:val="18"/>
              </w:rPr>
              <w:t>4</w:t>
            </w:r>
          </w:p>
        </w:tc>
        <w:tc>
          <w:tcPr>
            <w:tcW w:w="1860" w:type="dxa"/>
            <w:tcMar>
              <w:top w:w="0" w:type="dxa"/>
              <w:bottom w:w="0" w:type="dxa"/>
            </w:tcMar>
            <w:vAlign w:val="center"/>
          </w:tcPr>
          <w:p>
            <w:pPr>
              <w:keepNext/>
              <w:keepLines/>
              <w:spacing w:after="0" w:line="240" w:lineRule="auto"/>
              <w:jc w:val="right"/>
            </w:pPr>
            <w:r>
              <w:rPr>
                <w:sz w:val="18"/>
              </w:rPr>
              <w:t>266.368,09</w:t>
            </w:r>
          </w:p>
        </w:tc>
        <w:tc>
          <w:tcPr>
            <w:tcW w:w="1860" w:type="dxa"/>
            <w:tcMar>
              <w:top w:w="0" w:type="dxa"/>
              <w:bottom w:w="0" w:type="dxa"/>
            </w:tcMar>
            <w:vAlign w:val="center"/>
          </w:tcPr>
          <w:p>
            <w:pPr>
              <w:keepNext/>
              <w:keepLines/>
              <w:spacing w:after="0" w:line="240" w:lineRule="auto"/>
              <w:jc w:val="right"/>
            </w:pPr>
            <w:r>
              <w:rPr>
                <w:sz w:val="18"/>
              </w:rPr>
              <w:t>726.422,65</w:t>
            </w:r>
          </w:p>
        </w:tc>
        <w:tc>
          <w:tcPr>
            <w:tcW w:w="700" w:type="dxa"/>
            <w:tcMar>
              <w:top w:w="0" w:type="dxa"/>
              <w:bottom w:w="0" w:type="dxa"/>
            </w:tcMar>
            <w:vAlign w:val="center"/>
          </w:tcPr>
          <w:p>
            <w:pPr>
              <w:keepNext/>
              <w:keepLines/>
              <w:spacing w:after="0" w:line="240" w:lineRule="auto"/>
              <w:jc w:val="right"/>
            </w:pPr>
            <w:r>
              <w:rPr>
                <w:sz w:val="18"/>
              </w:rPr>
              <w:t>272,7</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b/>
                <w:sz w:val="18"/>
              </w:rPr>
              <w:t>MANJAK PRIHODA OD NEFINANCIJSKE IMOVINE (šifre 4-7)</w:t>
            </w:r>
          </w:p>
        </w:tc>
        <w:tc>
          <w:tcPr>
            <w:tcW w:w="700" w:type="dxa"/>
            <w:tcMar>
              <w:top w:w="0" w:type="dxa"/>
              <w:bottom w:w="0" w:type="dxa"/>
            </w:tcMar>
            <w:vAlign w:val="center"/>
          </w:tcPr>
          <w:p>
            <w:pPr>
              <w:keepNext/>
              <w:keepLines/>
              <w:spacing w:after="0" w:line="240" w:lineRule="auto"/>
            </w:pPr>
            <w:r>
              <w:rPr>
                <w:b/>
                <w:sz w:val="18"/>
              </w:rPr>
              <w:t>Y002</w:t>
            </w:r>
          </w:p>
        </w:tc>
        <w:tc>
          <w:tcPr>
            <w:tcW w:w="1860" w:type="dxa"/>
            <w:tcMar>
              <w:top w:w="0" w:type="dxa"/>
              <w:bottom w:w="0" w:type="dxa"/>
            </w:tcMar>
            <w:vAlign w:val="center"/>
          </w:tcPr>
          <w:p>
            <w:pPr>
              <w:keepNext/>
              <w:keepLines/>
              <w:spacing w:after="0" w:line="240" w:lineRule="auto"/>
              <w:jc w:val="right"/>
            </w:pPr>
            <w:r>
              <w:rPr>
                <w:b/>
                <w:sz w:val="18"/>
              </w:rPr>
              <w:t>266.368,09</w:t>
            </w:r>
          </w:p>
        </w:tc>
        <w:tc>
          <w:tcPr>
            <w:tcW w:w="1860" w:type="dxa"/>
            <w:tcMar>
              <w:top w:w="0" w:type="dxa"/>
              <w:bottom w:w="0" w:type="dxa"/>
            </w:tcMar>
            <w:vAlign w:val="center"/>
          </w:tcPr>
          <w:p>
            <w:pPr>
              <w:keepNext/>
              <w:keepLines/>
              <w:spacing w:after="0" w:line="240" w:lineRule="auto"/>
              <w:jc w:val="right"/>
            </w:pPr>
            <w:r>
              <w:rPr>
                <w:b/>
                <w:sz w:val="18"/>
              </w:rPr>
              <w:t>726.422,65</w:t>
            </w:r>
          </w:p>
        </w:tc>
        <w:tc>
          <w:tcPr>
            <w:tcW w:w="700" w:type="dxa"/>
            <w:tcMar>
              <w:top w:w="0" w:type="dxa"/>
              <w:bottom w:w="0" w:type="dxa"/>
            </w:tcMar>
            <w:vAlign w:val="center"/>
          </w:tcPr>
          <w:p>
            <w:pPr>
              <w:keepNext/>
              <w:keepLines/>
              <w:spacing w:after="0" w:line="240" w:lineRule="auto"/>
              <w:jc w:val="right"/>
            </w:pPr>
            <w:r>
              <w:rPr>
                <w:b/>
                <w:sz w:val="18"/>
              </w:rPr>
              <w:t>272,7</w:t>
            </w:r>
          </w:p>
        </w:tc>
      </w:tr>
      <w:tr>
        <w:trPr>
          <w:cantSplit/>
          <w:trHeight w:val="560"/>
        </w:trPr>
        <w:tc>
          <w:tcPr>
            <w:tcW w:w="700" w:type="dxa"/>
            <w:tcMar>
              <w:top w:w="0" w:type="dxa"/>
              <w:bottom w:w="0" w:type="dxa"/>
            </w:tcMar>
            <w:vAlign w:val="center"/>
          </w:tcPr>
          <w:p>
            <w:pPr>
              <w:keepNext/>
              <w:keepLines/>
              <w:spacing w:after="0" w:line="240" w:lineRule="auto"/>
            </w:pPr>
            <w:r>
              <w:rPr>
                <w:sz w:val="18"/>
              </w:rPr>
              <w:t>8</w:t>
            </w:r>
          </w:p>
        </w:tc>
        <w:tc>
          <w:tcPr>
            <w:tcW w:w="3180" w:type="dxa"/>
            <w:tcMar>
              <w:top w:w="0" w:type="dxa"/>
              <w:bottom w:w="0" w:type="dxa"/>
            </w:tcMar>
            <w:vAlign w:val="center"/>
          </w:tcPr>
          <w:p>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pPr>
              <w:keepNext/>
              <w:keepLines/>
              <w:spacing w:after="0" w:line="240" w:lineRule="auto"/>
            </w:pPr>
            <w:r>
              <w:rPr>
                <w:sz w:val="18"/>
              </w:rPr>
              <w:t>8</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0,00</w:t>
            </w:r>
          </w:p>
        </w:tc>
        <w:tc>
          <w:tcPr>
            <w:tcW w:w="700" w:type="dxa"/>
            <w:tcMar>
              <w:top w:w="0" w:type="dxa"/>
              <w:bottom w:w="0" w:type="dxa"/>
            </w:tcMar>
            <w:vAlign w:val="center"/>
          </w:tcPr>
          <w:p>
            <w:pPr>
              <w:keepNext/>
              <w:keepLines/>
              <w:spacing w:after="0" w:line="240" w:lineRule="auto"/>
              <w:jc w:val="right"/>
            </w:pPr>
            <w:r>
              <w:rPr>
                <w:sz w:val="18"/>
              </w:rPr>
              <w:t>-</w:t>
            </w:r>
          </w:p>
        </w:tc>
      </w:tr>
      <w:tr>
        <w:trPr>
          <w:cantSplit/>
          <w:trHeight w:val="560"/>
        </w:trPr>
        <w:tc>
          <w:tcPr>
            <w:tcW w:w="700" w:type="dxa"/>
            <w:tcMar>
              <w:top w:w="0" w:type="dxa"/>
              <w:bottom w:w="0" w:type="dxa"/>
            </w:tcMar>
            <w:vAlign w:val="center"/>
          </w:tcPr>
          <w:p>
            <w:pPr>
              <w:keepNext/>
              <w:keepLines/>
              <w:spacing w:after="0" w:line="240" w:lineRule="auto"/>
            </w:pPr>
            <w:r>
              <w:rPr>
                <w:sz w:val="18"/>
              </w:rPr>
              <w:t>5</w:t>
            </w:r>
          </w:p>
        </w:tc>
        <w:tc>
          <w:tcPr>
            <w:tcW w:w="3180" w:type="dxa"/>
            <w:tcMar>
              <w:top w:w="0" w:type="dxa"/>
              <w:bottom w:w="0" w:type="dxa"/>
            </w:tcMar>
            <w:vAlign w:val="center"/>
          </w:tcPr>
          <w:p>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pPr>
              <w:keepNext/>
              <w:keepLines/>
              <w:spacing w:after="0" w:line="240" w:lineRule="auto"/>
            </w:pPr>
            <w:r>
              <w:rPr>
                <w:sz w:val="18"/>
              </w:rPr>
              <w:t>5</w:t>
            </w:r>
          </w:p>
        </w:tc>
        <w:tc>
          <w:tcPr>
            <w:tcW w:w="1860" w:type="dxa"/>
            <w:tcMar>
              <w:top w:w="0" w:type="dxa"/>
              <w:bottom w:w="0" w:type="dxa"/>
            </w:tcMar>
            <w:vAlign w:val="center"/>
          </w:tcPr>
          <w:p>
            <w:pPr>
              <w:keepNext/>
              <w:keepLines/>
              <w:spacing w:after="0" w:line="240" w:lineRule="auto"/>
              <w:jc w:val="right"/>
            </w:pPr>
            <w:r>
              <w:rPr>
                <w:sz w:val="18"/>
              </w:rPr>
              <w:t>75.841,56</w:t>
            </w:r>
          </w:p>
        </w:tc>
        <w:tc>
          <w:tcPr>
            <w:tcW w:w="1860" w:type="dxa"/>
            <w:tcMar>
              <w:top w:w="0" w:type="dxa"/>
              <w:bottom w:w="0" w:type="dxa"/>
            </w:tcMar>
            <w:vAlign w:val="center"/>
          </w:tcPr>
          <w:p>
            <w:pPr>
              <w:keepNext/>
              <w:keepLines/>
              <w:spacing w:after="0" w:line="240" w:lineRule="auto"/>
              <w:jc w:val="right"/>
            </w:pPr>
            <w:r>
              <w:rPr>
                <w:sz w:val="18"/>
              </w:rPr>
              <w:t>75.841,56</w:t>
            </w:r>
          </w:p>
        </w:tc>
        <w:tc>
          <w:tcPr>
            <w:tcW w:w="700" w:type="dxa"/>
            <w:tcMar>
              <w:top w:w="0" w:type="dxa"/>
              <w:bottom w:w="0" w:type="dxa"/>
            </w:tcMar>
            <w:vAlign w:val="center"/>
          </w:tcPr>
          <w:p>
            <w:pPr>
              <w:keepNext/>
              <w:keepLines/>
              <w:spacing w:after="0" w:line="240" w:lineRule="auto"/>
              <w:jc w:val="right"/>
            </w:pPr>
            <w:r>
              <w:rPr>
                <w:sz w:val="18"/>
              </w:rPr>
              <w:t>100</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b/>
                <w:sz w:val="18"/>
              </w:rPr>
              <w:t>MANJAK PRIMITAKA OD FINANCIJSKE IMOVINE I ZADUŽIVANJA (šifre 5-8)</w:t>
            </w:r>
          </w:p>
        </w:tc>
        <w:tc>
          <w:tcPr>
            <w:tcW w:w="700" w:type="dxa"/>
            <w:tcMar>
              <w:top w:w="0" w:type="dxa"/>
              <w:bottom w:w="0" w:type="dxa"/>
            </w:tcMar>
            <w:vAlign w:val="center"/>
          </w:tcPr>
          <w:p>
            <w:pPr>
              <w:keepNext/>
              <w:keepLines/>
              <w:spacing w:after="0" w:line="240" w:lineRule="auto"/>
            </w:pPr>
            <w:r>
              <w:rPr>
                <w:b/>
                <w:sz w:val="18"/>
              </w:rPr>
              <w:t>Y003</w:t>
            </w:r>
          </w:p>
        </w:tc>
        <w:tc>
          <w:tcPr>
            <w:tcW w:w="1860" w:type="dxa"/>
            <w:tcMar>
              <w:top w:w="0" w:type="dxa"/>
              <w:bottom w:w="0" w:type="dxa"/>
            </w:tcMar>
            <w:vAlign w:val="center"/>
          </w:tcPr>
          <w:p>
            <w:pPr>
              <w:keepNext/>
              <w:keepLines/>
              <w:spacing w:after="0" w:line="240" w:lineRule="auto"/>
              <w:jc w:val="right"/>
            </w:pPr>
            <w:r>
              <w:rPr>
                <w:b/>
                <w:sz w:val="18"/>
              </w:rPr>
              <w:t>75.841,56</w:t>
            </w:r>
          </w:p>
        </w:tc>
        <w:tc>
          <w:tcPr>
            <w:tcW w:w="1860" w:type="dxa"/>
            <w:tcMar>
              <w:top w:w="0" w:type="dxa"/>
              <w:bottom w:w="0" w:type="dxa"/>
            </w:tcMar>
            <w:vAlign w:val="center"/>
          </w:tcPr>
          <w:p>
            <w:pPr>
              <w:keepNext/>
              <w:keepLines/>
              <w:spacing w:after="0" w:line="240" w:lineRule="auto"/>
              <w:jc w:val="right"/>
            </w:pPr>
            <w:r>
              <w:rPr>
                <w:b/>
                <w:sz w:val="18"/>
              </w:rPr>
              <w:t>75.841,56</w:t>
            </w:r>
          </w:p>
        </w:tc>
        <w:tc>
          <w:tcPr>
            <w:tcW w:w="700" w:type="dxa"/>
            <w:tcMar>
              <w:top w:w="0" w:type="dxa"/>
              <w:bottom w:w="0" w:type="dxa"/>
            </w:tcMar>
            <w:vAlign w:val="center"/>
          </w:tcPr>
          <w:p>
            <w:pPr>
              <w:keepNext/>
              <w:keepLines/>
              <w:spacing w:after="0" w:line="240" w:lineRule="auto"/>
              <w:jc w:val="right"/>
            </w:pPr>
            <w:r>
              <w:rPr>
                <w:b/>
                <w:sz w:val="18"/>
              </w:rPr>
              <w:t>100</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b/>
                <w:sz w:val="18"/>
              </w:rPr>
              <w:t>VIŠAK PRIHODA I PRIMITAKA (šifre X678-Y345)</w:t>
            </w:r>
          </w:p>
        </w:tc>
        <w:tc>
          <w:tcPr>
            <w:tcW w:w="700" w:type="dxa"/>
            <w:tcMar>
              <w:top w:w="0" w:type="dxa"/>
              <w:bottom w:w="0" w:type="dxa"/>
            </w:tcMar>
            <w:vAlign w:val="center"/>
          </w:tcPr>
          <w:p>
            <w:pPr>
              <w:keepNext/>
              <w:keepLines/>
              <w:spacing w:after="0" w:line="240" w:lineRule="auto"/>
            </w:pPr>
            <w:r>
              <w:rPr>
                <w:b/>
                <w:sz w:val="18"/>
              </w:rPr>
              <w:t>X005</w:t>
            </w:r>
          </w:p>
        </w:tc>
        <w:tc>
          <w:tcPr>
            <w:tcW w:w="1860" w:type="dxa"/>
            <w:tcMar>
              <w:top w:w="0" w:type="dxa"/>
              <w:bottom w:w="0" w:type="dxa"/>
            </w:tcMar>
            <w:vAlign w:val="center"/>
          </w:tcPr>
          <w:p>
            <w:pPr>
              <w:keepNext/>
              <w:keepLines/>
              <w:spacing w:after="0" w:line="240" w:lineRule="auto"/>
              <w:jc w:val="right"/>
            </w:pPr>
            <w:r>
              <w:rPr>
                <w:b/>
                <w:sz w:val="18"/>
              </w:rPr>
              <w:t>775.172,46</w:t>
            </w:r>
          </w:p>
        </w:tc>
        <w:tc>
          <w:tcPr>
            <w:tcW w:w="1860" w:type="dxa"/>
            <w:tcMar>
              <w:top w:w="0" w:type="dxa"/>
              <w:bottom w:w="0" w:type="dxa"/>
            </w:tcMar>
            <w:vAlign w:val="center"/>
          </w:tcPr>
          <w:p>
            <w:pPr>
              <w:keepNext/>
              <w:keepLines/>
              <w:spacing w:after="0" w:line="240" w:lineRule="auto"/>
              <w:jc w:val="right"/>
            </w:pPr>
            <w:r>
              <w:rPr>
                <w:b/>
                <w:sz w:val="18"/>
              </w:rPr>
              <w:t>506.782,50</w:t>
            </w:r>
          </w:p>
        </w:tc>
        <w:tc>
          <w:tcPr>
            <w:tcW w:w="700" w:type="dxa"/>
            <w:tcMar>
              <w:top w:w="0" w:type="dxa"/>
              <w:bottom w:w="0" w:type="dxa"/>
            </w:tcMar>
            <w:vAlign w:val="center"/>
          </w:tcPr>
          <w:p>
            <w:pPr>
              <w:keepNext/>
              <w:keepLines/>
              <w:spacing w:after="0" w:line="240" w:lineRule="auto"/>
              <w:jc w:val="right"/>
            </w:pPr>
            <w:r>
              <w:rPr>
                <w:b/>
                <w:sz w:val="18"/>
              </w:rPr>
              <w:t>65,4</w:t>
            </w:r>
          </w:p>
        </w:tc>
      </w:tr>
    </w:tbl>
    <w:p>
      <w:pPr>
        <w:spacing w:after="0"/>
      </w:pPr>
    </w:p>
    <w:p>
      <w:r>
        <w:t xml:space="preserve">U 2025. godini prihodi poslovanja ostvareni su u iznosu od 2.803.088,96 €, odnosno 33,5% više nego prethodne godine, dok su rashodi poslovanja ostvareni u iznosu od 1.494.042,25 €, odnosno 52,1% više nego prethodne godine. Ovakav rast prihoda odnosi se na povećanje </w:t>
      </w:r>
      <w:r>
        <w:lastRenderedPageBreak/>
        <w:t>prihoda od poreza, pomoći od županije i grada, porast prihoda komunalnog doprinosa. Višak prihoda poslovanja utvrđen u 2025. godini u iznosu od 1.309.046,71 €. </w:t>
      </w:r>
    </w:p>
    <w:p>
      <w:r>
        <w:t>Prihodi od prodaje nefinancijske imovine ostvarenih u 2025. godini su iznosili 0,00 €. Rashodi za nabavu nefinancijske imovine iznose 726.422,65 € što je porast za 100 % u odnosu na prethodnu godinu. Odnosi se na izgradnju Vatrogasnog doma, asfaltiranje cesta, izgradnju dječjih igrališta.</w:t>
      </w:r>
    </w:p>
    <w:p>
      <w:r>
        <w:t>Ukupni višak prihoda i primitaka za 2025. godinu iznosi 506.782,50 €.</w:t>
      </w:r>
    </w:p>
    <w:p>
      <w:r>
        <w:br/>
      </w:r>
    </w:p>
    <w:p>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6131</w:t>
            </w:r>
          </w:p>
        </w:tc>
        <w:tc>
          <w:tcPr>
            <w:tcW w:w="3180" w:type="dxa"/>
            <w:tcMar>
              <w:top w:w="0" w:type="dxa"/>
              <w:bottom w:w="0" w:type="dxa"/>
            </w:tcMar>
            <w:vAlign w:val="center"/>
          </w:tcPr>
          <w:p>
            <w:pPr>
              <w:keepNext/>
              <w:keepLines/>
              <w:spacing w:after="0" w:line="240" w:lineRule="auto"/>
            </w:pPr>
            <w:r>
              <w:rPr>
                <w:sz w:val="18"/>
              </w:rPr>
              <w:t>Stalni porezi na nepokretnu imovinu (zemlju, zgrade, kuće i ostalo)</w:t>
            </w:r>
          </w:p>
        </w:tc>
        <w:tc>
          <w:tcPr>
            <w:tcW w:w="700" w:type="dxa"/>
            <w:tcMar>
              <w:top w:w="0" w:type="dxa"/>
              <w:bottom w:w="0" w:type="dxa"/>
            </w:tcMar>
            <w:vAlign w:val="center"/>
          </w:tcPr>
          <w:p>
            <w:pPr>
              <w:keepNext/>
              <w:keepLines/>
              <w:spacing w:after="0" w:line="240" w:lineRule="auto"/>
            </w:pPr>
            <w:r>
              <w:rPr>
                <w:sz w:val="18"/>
              </w:rPr>
              <w:t>6131</w:t>
            </w:r>
          </w:p>
        </w:tc>
        <w:tc>
          <w:tcPr>
            <w:tcW w:w="1860" w:type="dxa"/>
            <w:tcMar>
              <w:top w:w="0" w:type="dxa"/>
              <w:bottom w:w="0" w:type="dxa"/>
            </w:tcMar>
            <w:vAlign w:val="center"/>
          </w:tcPr>
          <w:p>
            <w:pPr>
              <w:keepNext/>
              <w:keepLines/>
              <w:spacing w:after="0" w:line="240" w:lineRule="auto"/>
              <w:jc w:val="right"/>
            </w:pPr>
            <w:r>
              <w:rPr>
                <w:sz w:val="18"/>
              </w:rPr>
              <w:t>170.765,53</w:t>
            </w:r>
          </w:p>
        </w:tc>
        <w:tc>
          <w:tcPr>
            <w:tcW w:w="1860" w:type="dxa"/>
            <w:tcMar>
              <w:top w:w="0" w:type="dxa"/>
              <w:bottom w:w="0" w:type="dxa"/>
            </w:tcMar>
            <w:vAlign w:val="center"/>
          </w:tcPr>
          <w:p>
            <w:pPr>
              <w:keepNext/>
              <w:keepLines/>
              <w:spacing w:after="0" w:line="240" w:lineRule="auto"/>
              <w:jc w:val="right"/>
            </w:pPr>
            <w:r>
              <w:rPr>
                <w:sz w:val="18"/>
              </w:rPr>
              <w:t>94.684,48</w:t>
            </w:r>
          </w:p>
        </w:tc>
        <w:tc>
          <w:tcPr>
            <w:tcW w:w="700" w:type="dxa"/>
            <w:tcMar>
              <w:top w:w="0" w:type="dxa"/>
              <w:bottom w:w="0" w:type="dxa"/>
            </w:tcMar>
            <w:vAlign w:val="center"/>
          </w:tcPr>
          <w:p>
            <w:pPr>
              <w:keepNext/>
              <w:keepLines/>
              <w:spacing w:after="0" w:line="240" w:lineRule="auto"/>
              <w:jc w:val="right"/>
            </w:pPr>
            <w:r>
              <w:rPr>
                <w:sz w:val="18"/>
              </w:rPr>
              <w:t>55,4</w:t>
            </w:r>
          </w:p>
        </w:tc>
      </w:tr>
    </w:tbl>
    <w:p>
      <w:pPr>
        <w:spacing w:after="0"/>
      </w:pPr>
    </w:p>
    <w:p>
      <w:r>
        <w:t>Porezi na kuće za odmori, odnosno porez na nekretnine, umanjeni su jer su rješenja za 2025. godinu izdana kroz 9 mjesec, te je zbog toga manje prihodovano. Isto tako zbog promjene zakona je došlo do smanjenja prihoda.</w:t>
      </w:r>
    </w:p>
    <w:p/>
    <w:p>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6134</w:t>
            </w:r>
          </w:p>
        </w:tc>
        <w:tc>
          <w:tcPr>
            <w:tcW w:w="3180" w:type="dxa"/>
            <w:tcMar>
              <w:top w:w="0" w:type="dxa"/>
              <w:bottom w:w="0" w:type="dxa"/>
            </w:tcMar>
            <w:vAlign w:val="center"/>
          </w:tcPr>
          <w:p>
            <w:pPr>
              <w:keepNext/>
              <w:keepLines/>
              <w:spacing w:after="0" w:line="240" w:lineRule="auto"/>
            </w:pPr>
            <w:r>
              <w:rPr>
                <w:sz w:val="18"/>
              </w:rPr>
              <w:t>Povremeni porezi na imovinu</w:t>
            </w:r>
          </w:p>
        </w:tc>
        <w:tc>
          <w:tcPr>
            <w:tcW w:w="700" w:type="dxa"/>
            <w:tcMar>
              <w:top w:w="0" w:type="dxa"/>
              <w:bottom w:w="0" w:type="dxa"/>
            </w:tcMar>
            <w:vAlign w:val="center"/>
          </w:tcPr>
          <w:p>
            <w:pPr>
              <w:keepNext/>
              <w:keepLines/>
              <w:spacing w:after="0" w:line="240" w:lineRule="auto"/>
            </w:pPr>
            <w:r>
              <w:rPr>
                <w:sz w:val="18"/>
              </w:rPr>
              <w:t>6134</w:t>
            </w:r>
          </w:p>
        </w:tc>
        <w:tc>
          <w:tcPr>
            <w:tcW w:w="1860" w:type="dxa"/>
            <w:tcMar>
              <w:top w:w="0" w:type="dxa"/>
              <w:bottom w:w="0" w:type="dxa"/>
            </w:tcMar>
            <w:vAlign w:val="center"/>
          </w:tcPr>
          <w:p>
            <w:pPr>
              <w:keepNext/>
              <w:keepLines/>
              <w:spacing w:after="0" w:line="240" w:lineRule="auto"/>
              <w:jc w:val="right"/>
            </w:pPr>
            <w:r>
              <w:rPr>
                <w:sz w:val="18"/>
              </w:rPr>
              <w:t>253.570,16</w:t>
            </w:r>
          </w:p>
        </w:tc>
        <w:tc>
          <w:tcPr>
            <w:tcW w:w="1860" w:type="dxa"/>
            <w:tcMar>
              <w:top w:w="0" w:type="dxa"/>
              <w:bottom w:w="0" w:type="dxa"/>
            </w:tcMar>
            <w:vAlign w:val="center"/>
          </w:tcPr>
          <w:p>
            <w:pPr>
              <w:keepNext/>
              <w:keepLines/>
              <w:spacing w:after="0" w:line="240" w:lineRule="auto"/>
              <w:jc w:val="right"/>
            </w:pPr>
            <w:r>
              <w:rPr>
                <w:sz w:val="18"/>
              </w:rPr>
              <w:t>376.280,37</w:t>
            </w:r>
          </w:p>
        </w:tc>
        <w:tc>
          <w:tcPr>
            <w:tcW w:w="700" w:type="dxa"/>
            <w:tcMar>
              <w:top w:w="0" w:type="dxa"/>
              <w:bottom w:w="0" w:type="dxa"/>
            </w:tcMar>
            <w:vAlign w:val="center"/>
          </w:tcPr>
          <w:p>
            <w:pPr>
              <w:keepNext/>
              <w:keepLines/>
              <w:spacing w:after="0" w:line="240" w:lineRule="auto"/>
              <w:jc w:val="right"/>
            </w:pPr>
            <w:r>
              <w:rPr>
                <w:sz w:val="18"/>
              </w:rPr>
              <w:t>148,4</w:t>
            </w:r>
          </w:p>
        </w:tc>
      </w:tr>
    </w:tbl>
    <w:p>
      <w:pPr>
        <w:spacing w:after="0"/>
      </w:pPr>
    </w:p>
    <w:p>
      <w:r>
        <w:t>Povećani su prihodi od prodaje nekretnina pa je samim time i veći priljev prihoda od poreza na promet nekretninama.</w:t>
      </w:r>
    </w:p>
    <w:p/>
    <w:p>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63</w:t>
            </w:r>
          </w:p>
        </w:tc>
        <w:tc>
          <w:tcPr>
            <w:tcW w:w="3180" w:type="dxa"/>
            <w:tcMar>
              <w:top w:w="0" w:type="dxa"/>
              <w:bottom w:w="0" w:type="dxa"/>
            </w:tcMar>
            <w:vAlign w:val="center"/>
          </w:tcPr>
          <w:p>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pPr>
              <w:keepNext/>
              <w:keepLines/>
              <w:spacing w:after="0" w:line="240" w:lineRule="auto"/>
            </w:pPr>
            <w:r>
              <w:rPr>
                <w:sz w:val="18"/>
              </w:rPr>
              <w:t>63</w:t>
            </w:r>
          </w:p>
        </w:tc>
        <w:tc>
          <w:tcPr>
            <w:tcW w:w="1860" w:type="dxa"/>
            <w:tcMar>
              <w:top w:w="0" w:type="dxa"/>
              <w:bottom w:w="0" w:type="dxa"/>
            </w:tcMar>
            <w:vAlign w:val="center"/>
          </w:tcPr>
          <w:p>
            <w:pPr>
              <w:keepNext/>
              <w:keepLines/>
              <w:spacing w:after="0" w:line="240" w:lineRule="auto"/>
              <w:jc w:val="right"/>
            </w:pPr>
            <w:r>
              <w:rPr>
                <w:sz w:val="18"/>
              </w:rPr>
              <w:t>293.701,32</w:t>
            </w:r>
          </w:p>
        </w:tc>
        <w:tc>
          <w:tcPr>
            <w:tcW w:w="1860" w:type="dxa"/>
            <w:tcMar>
              <w:top w:w="0" w:type="dxa"/>
              <w:bottom w:w="0" w:type="dxa"/>
            </w:tcMar>
            <w:vAlign w:val="center"/>
          </w:tcPr>
          <w:p>
            <w:pPr>
              <w:keepNext/>
              <w:keepLines/>
              <w:spacing w:after="0" w:line="240" w:lineRule="auto"/>
              <w:jc w:val="right"/>
            </w:pPr>
            <w:r>
              <w:rPr>
                <w:sz w:val="18"/>
              </w:rPr>
              <w:t>461.035,09</w:t>
            </w:r>
          </w:p>
        </w:tc>
        <w:tc>
          <w:tcPr>
            <w:tcW w:w="700" w:type="dxa"/>
            <w:tcMar>
              <w:top w:w="0" w:type="dxa"/>
              <w:bottom w:w="0" w:type="dxa"/>
            </w:tcMar>
            <w:vAlign w:val="center"/>
          </w:tcPr>
          <w:p>
            <w:pPr>
              <w:keepNext/>
              <w:keepLines/>
              <w:spacing w:after="0" w:line="240" w:lineRule="auto"/>
              <w:jc w:val="right"/>
            </w:pPr>
            <w:r>
              <w:rPr>
                <w:sz w:val="18"/>
              </w:rPr>
              <w:t>157,0</w:t>
            </w:r>
          </w:p>
        </w:tc>
      </w:tr>
    </w:tbl>
    <w:p>
      <w:pPr>
        <w:spacing w:after="0"/>
      </w:pPr>
    </w:p>
    <w:p>
      <w:r>
        <w:t>Pomoći fiskalnog izravnanja su ostali nepromijenjeni, dok su nove pomoći došle od gradskog proračuna Grada Šibenika, za fiskalnu održivost dječjih vrtića.</w:t>
      </w:r>
    </w:p>
    <w:p/>
    <w:p>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6331</w:t>
            </w:r>
          </w:p>
        </w:tc>
        <w:tc>
          <w:tcPr>
            <w:tcW w:w="3180" w:type="dxa"/>
            <w:tcMar>
              <w:top w:w="0" w:type="dxa"/>
              <w:bottom w:w="0" w:type="dxa"/>
            </w:tcMar>
            <w:vAlign w:val="center"/>
          </w:tcPr>
          <w:p>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pPr>
              <w:keepNext/>
              <w:keepLines/>
              <w:spacing w:after="0" w:line="240" w:lineRule="auto"/>
            </w:pPr>
            <w:r>
              <w:rPr>
                <w:sz w:val="18"/>
              </w:rPr>
              <w:t>6331</w:t>
            </w:r>
          </w:p>
        </w:tc>
        <w:tc>
          <w:tcPr>
            <w:tcW w:w="1860" w:type="dxa"/>
            <w:tcMar>
              <w:top w:w="0" w:type="dxa"/>
              <w:bottom w:w="0" w:type="dxa"/>
            </w:tcMar>
            <w:vAlign w:val="center"/>
          </w:tcPr>
          <w:p>
            <w:pPr>
              <w:keepNext/>
              <w:keepLines/>
              <w:spacing w:after="0" w:line="240" w:lineRule="auto"/>
              <w:jc w:val="right"/>
            </w:pPr>
            <w:r>
              <w:rPr>
                <w:sz w:val="18"/>
              </w:rPr>
              <w:t>283.714,44</w:t>
            </w:r>
          </w:p>
        </w:tc>
        <w:tc>
          <w:tcPr>
            <w:tcW w:w="1860" w:type="dxa"/>
            <w:tcMar>
              <w:top w:w="0" w:type="dxa"/>
              <w:bottom w:w="0" w:type="dxa"/>
            </w:tcMar>
            <w:vAlign w:val="center"/>
          </w:tcPr>
          <w:p>
            <w:pPr>
              <w:keepNext/>
              <w:keepLines/>
              <w:spacing w:after="0" w:line="240" w:lineRule="auto"/>
              <w:jc w:val="right"/>
            </w:pPr>
            <w:r>
              <w:rPr>
                <w:sz w:val="18"/>
              </w:rPr>
              <w:t>340.374,29</w:t>
            </w:r>
          </w:p>
        </w:tc>
        <w:tc>
          <w:tcPr>
            <w:tcW w:w="700" w:type="dxa"/>
            <w:tcMar>
              <w:top w:w="0" w:type="dxa"/>
              <w:bottom w:w="0" w:type="dxa"/>
            </w:tcMar>
            <w:vAlign w:val="center"/>
          </w:tcPr>
          <w:p>
            <w:pPr>
              <w:keepNext/>
              <w:keepLines/>
              <w:spacing w:after="0" w:line="240" w:lineRule="auto"/>
              <w:jc w:val="right"/>
            </w:pPr>
            <w:r>
              <w:rPr>
                <w:sz w:val="18"/>
              </w:rPr>
              <w:t>120,0</w:t>
            </w:r>
          </w:p>
        </w:tc>
      </w:tr>
    </w:tbl>
    <w:p>
      <w:pPr>
        <w:spacing w:after="0"/>
      </w:pPr>
    </w:p>
    <w:p>
      <w:r>
        <w:t>Pomoći fiskalnog izravnanja su ostali nepromijenjeni, dok su nove pomoći došle od gradskog proračuna Grada Šibenika, za fiskalnu održivost dječjih vrtića.</w:t>
      </w:r>
    </w:p>
    <w:p/>
    <w:p>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6332</w:t>
            </w:r>
          </w:p>
        </w:tc>
        <w:tc>
          <w:tcPr>
            <w:tcW w:w="3180" w:type="dxa"/>
            <w:tcMar>
              <w:top w:w="0" w:type="dxa"/>
              <w:bottom w:w="0" w:type="dxa"/>
            </w:tcMar>
            <w:vAlign w:val="center"/>
          </w:tcPr>
          <w:p>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pPr>
              <w:keepNext/>
              <w:keepLines/>
              <w:spacing w:after="0" w:line="240" w:lineRule="auto"/>
            </w:pPr>
            <w:r>
              <w:rPr>
                <w:sz w:val="18"/>
              </w:rPr>
              <w:t>6332</w:t>
            </w:r>
          </w:p>
        </w:tc>
        <w:tc>
          <w:tcPr>
            <w:tcW w:w="1860" w:type="dxa"/>
            <w:tcMar>
              <w:top w:w="0" w:type="dxa"/>
              <w:bottom w:w="0" w:type="dxa"/>
            </w:tcMar>
            <w:vAlign w:val="center"/>
          </w:tcPr>
          <w:p>
            <w:pPr>
              <w:keepNext/>
              <w:keepLines/>
              <w:spacing w:after="0" w:line="240" w:lineRule="auto"/>
              <w:jc w:val="right"/>
            </w:pPr>
            <w:r>
              <w:rPr>
                <w:sz w:val="18"/>
              </w:rPr>
              <w:t>9.986,88</w:t>
            </w:r>
          </w:p>
        </w:tc>
        <w:tc>
          <w:tcPr>
            <w:tcW w:w="1860" w:type="dxa"/>
            <w:tcMar>
              <w:top w:w="0" w:type="dxa"/>
              <w:bottom w:w="0" w:type="dxa"/>
            </w:tcMar>
            <w:vAlign w:val="center"/>
          </w:tcPr>
          <w:p>
            <w:pPr>
              <w:keepNext/>
              <w:keepLines/>
              <w:spacing w:after="0" w:line="240" w:lineRule="auto"/>
              <w:jc w:val="right"/>
            </w:pPr>
            <w:r>
              <w:rPr>
                <w:sz w:val="18"/>
              </w:rPr>
              <w:t>112.348,30</w:t>
            </w:r>
          </w:p>
        </w:tc>
        <w:tc>
          <w:tcPr>
            <w:tcW w:w="700" w:type="dxa"/>
            <w:tcMar>
              <w:top w:w="0" w:type="dxa"/>
              <w:bottom w:w="0" w:type="dxa"/>
            </w:tcMar>
            <w:vAlign w:val="center"/>
          </w:tcPr>
          <w:p>
            <w:pPr>
              <w:keepNext/>
              <w:keepLines/>
              <w:spacing w:after="0" w:line="240" w:lineRule="auto"/>
              <w:jc w:val="right"/>
            </w:pPr>
            <w:r>
              <w:rPr>
                <w:sz w:val="18"/>
              </w:rPr>
              <w:t>1125,0</w:t>
            </w:r>
          </w:p>
        </w:tc>
      </w:tr>
    </w:tbl>
    <w:p>
      <w:pPr>
        <w:spacing w:after="0"/>
      </w:pPr>
    </w:p>
    <w:p>
      <w:r>
        <w:t>Kapitalne pomoći od Županije za uređenje pomorskog dobra su povećane.</w:t>
      </w:r>
    </w:p>
    <w:p/>
    <w:p>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638</w:t>
            </w:r>
          </w:p>
        </w:tc>
        <w:tc>
          <w:tcPr>
            <w:tcW w:w="3180" w:type="dxa"/>
            <w:tcMar>
              <w:top w:w="0" w:type="dxa"/>
              <w:bottom w:w="0" w:type="dxa"/>
            </w:tcMar>
            <w:vAlign w:val="center"/>
          </w:tcPr>
          <w:p>
            <w:pPr>
              <w:keepNext/>
              <w:keepLines/>
              <w:spacing w:after="0" w:line="240" w:lineRule="auto"/>
            </w:pPr>
            <w:r>
              <w:rPr>
                <w:sz w:val="18"/>
              </w:rPr>
              <w:t>Pomoći temeljem prijenosa EU sredstava (šifre 6381+6382)</w:t>
            </w:r>
          </w:p>
        </w:tc>
        <w:tc>
          <w:tcPr>
            <w:tcW w:w="700" w:type="dxa"/>
            <w:tcMar>
              <w:top w:w="0" w:type="dxa"/>
              <w:bottom w:w="0" w:type="dxa"/>
            </w:tcMar>
            <w:vAlign w:val="center"/>
          </w:tcPr>
          <w:p>
            <w:pPr>
              <w:keepNext/>
              <w:keepLines/>
              <w:spacing w:after="0" w:line="240" w:lineRule="auto"/>
            </w:pPr>
            <w:r>
              <w:rPr>
                <w:sz w:val="18"/>
              </w:rPr>
              <w:t>638</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8.312,50</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Odnosi se na financiranje izgradnje Vatrogasnog doma koji se financiraju iz Ministarstva regionalnog razvoja</w:t>
      </w:r>
    </w:p>
    <w:p/>
    <w:p>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6429</w:t>
            </w:r>
          </w:p>
        </w:tc>
        <w:tc>
          <w:tcPr>
            <w:tcW w:w="3180" w:type="dxa"/>
            <w:tcMar>
              <w:top w:w="0" w:type="dxa"/>
              <w:bottom w:w="0" w:type="dxa"/>
            </w:tcMar>
            <w:vAlign w:val="center"/>
          </w:tcPr>
          <w:p>
            <w:pPr>
              <w:keepNext/>
              <w:keepLines/>
              <w:spacing w:after="0" w:line="240" w:lineRule="auto"/>
            </w:pPr>
            <w:r>
              <w:rPr>
                <w:sz w:val="18"/>
              </w:rPr>
              <w:t>Ostali prihodi od nefinancijske imovine</w:t>
            </w:r>
          </w:p>
        </w:tc>
        <w:tc>
          <w:tcPr>
            <w:tcW w:w="700" w:type="dxa"/>
            <w:tcMar>
              <w:top w:w="0" w:type="dxa"/>
              <w:bottom w:w="0" w:type="dxa"/>
            </w:tcMar>
            <w:vAlign w:val="center"/>
          </w:tcPr>
          <w:p>
            <w:pPr>
              <w:keepNext/>
              <w:keepLines/>
              <w:spacing w:after="0" w:line="240" w:lineRule="auto"/>
            </w:pPr>
            <w:r>
              <w:rPr>
                <w:sz w:val="18"/>
              </w:rPr>
              <w:t>6429</w:t>
            </w:r>
          </w:p>
        </w:tc>
        <w:tc>
          <w:tcPr>
            <w:tcW w:w="1860" w:type="dxa"/>
            <w:tcMar>
              <w:top w:w="0" w:type="dxa"/>
              <w:bottom w:w="0" w:type="dxa"/>
            </w:tcMar>
            <w:vAlign w:val="center"/>
          </w:tcPr>
          <w:p>
            <w:pPr>
              <w:keepNext/>
              <w:keepLines/>
              <w:spacing w:after="0" w:line="240" w:lineRule="auto"/>
              <w:jc w:val="right"/>
            </w:pPr>
            <w:r>
              <w:rPr>
                <w:sz w:val="18"/>
              </w:rPr>
              <w:t>714,08</w:t>
            </w:r>
          </w:p>
        </w:tc>
        <w:tc>
          <w:tcPr>
            <w:tcW w:w="1860" w:type="dxa"/>
            <w:tcMar>
              <w:top w:w="0" w:type="dxa"/>
              <w:bottom w:w="0" w:type="dxa"/>
            </w:tcMar>
            <w:vAlign w:val="center"/>
          </w:tcPr>
          <w:p>
            <w:pPr>
              <w:keepNext/>
              <w:keepLines/>
              <w:spacing w:after="0" w:line="240" w:lineRule="auto"/>
              <w:jc w:val="right"/>
            </w:pPr>
            <w:r>
              <w:rPr>
                <w:sz w:val="18"/>
              </w:rPr>
              <w:t>3.226,76</w:t>
            </w:r>
          </w:p>
        </w:tc>
        <w:tc>
          <w:tcPr>
            <w:tcW w:w="700" w:type="dxa"/>
            <w:tcMar>
              <w:top w:w="0" w:type="dxa"/>
              <w:bottom w:w="0" w:type="dxa"/>
            </w:tcMar>
            <w:vAlign w:val="center"/>
          </w:tcPr>
          <w:p>
            <w:pPr>
              <w:keepNext/>
              <w:keepLines/>
              <w:spacing w:after="0" w:line="240" w:lineRule="auto"/>
              <w:jc w:val="right"/>
            </w:pPr>
            <w:r>
              <w:rPr>
                <w:sz w:val="18"/>
              </w:rPr>
              <w:t>451,9</w:t>
            </w:r>
          </w:p>
        </w:tc>
      </w:tr>
    </w:tbl>
    <w:p>
      <w:pPr>
        <w:spacing w:after="0"/>
      </w:pPr>
    </w:p>
    <w:p>
      <w:r>
        <w:t>Prihodi se odnose na legalizaciju objekata u Bilicama</w:t>
      </w:r>
    </w:p>
    <w:p/>
    <w:p>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6531</w:t>
            </w:r>
          </w:p>
        </w:tc>
        <w:tc>
          <w:tcPr>
            <w:tcW w:w="3180" w:type="dxa"/>
            <w:tcMar>
              <w:top w:w="0" w:type="dxa"/>
              <w:bottom w:w="0" w:type="dxa"/>
            </w:tcMar>
            <w:vAlign w:val="center"/>
          </w:tcPr>
          <w:p>
            <w:pPr>
              <w:keepNext/>
              <w:keepLines/>
              <w:spacing w:after="0" w:line="240" w:lineRule="auto"/>
            </w:pPr>
            <w:r>
              <w:rPr>
                <w:sz w:val="18"/>
              </w:rPr>
              <w:t>Komunalni doprinosi</w:t>
            </w:r>
          </w:p>
        </w:tc>
        <w:tc>
          <w:tcPr>
            <w:tcW w:w="700" w:type="dxa"/>
            <w:tcMar>
              <w:top w:w="0" w:type="dxa"/>
              <w:bottom w:w="0" w:type="dxa"/>
            </w:tcMar>
            <w:vAlign w:val="center"/>
          </w:tcPr>
          <w:p>
            <w:pPr>
              <w:keepNext/>
              <w:keepLines/>
              <w:spacing w:after="0" w:line="240" w:lineRule="auto"/>
            </w:pPr>
            <w:r>
              <w:rPr>
                <w:sz w:val="18"/>
              </w:rPr>
              <w:t>6531</w:t>
            </w:r>
          </w:p>
        </w:tc>
        <w:tc>
          <w:tcPr>
            <w:tcW w:w="1860" w:type="dxa"/>
            <w:tcMar>
              <w:top w:w="0" w:type="dxa"/>
              <w:bottom w:w="0" w:type="dxa"/>
            </w:tcMar>
            <w:vAlign w:val="center"/>
          </w:tcPr>
          <w:p>
            <w:pPr>
              <w:keepNext/>
              <w:keepLines/>
              <w:spacing w:after="0" w:line="240" w:lineRule="auto"/>
              <w:jc w:val="right"/>
            </w:pPr>
            <w:r>
              <w:rPr>
                <w:sz w:val="18"/>
              </w:rPr>
              <w:t>131.390,23</w:t>
            </w:r>
          </w:p>
        </w:tc>
        <w:tc>
          <w:tcPr>
            <w:tcW w:w="1860" w:type="dxa"/>
            <w:tcMar>
              <w:top w:w="0" w:type="dxa"/>
              <w:bottom w:w="0" w:type="dxa"/>
            </w:tcMar>
            <w:vAlign w:val="center"/>
          </w:tcPr>
          <w:p>
            <w:pPr>
              <w:keepNext/>
              <w:keepLines/>
              <w:spacing w:after="0" w:line="240" w:lineRule="auto"/>
              <w:jc w:val="right"/>
            </w:pPr>
            <w:r>
              <w:rPr>
                <w:sz w:val="18"/>
              </w:rPr>
              <w:t>315.694,52</w:t>
            </w:r>
          </w:p>
        </w:tc>
        <w:tc>
          <w:tcPr>
            <w:tcW w:w="700" w:type="dxa"/>
            <w:tcMar>
              <w:top w:w="0" w:type="dxa"/>
              <w:bottom w:w="0" w:type="dxa"/>
            </w:tcMar>
            <w:vAlign w:val="center"/>
          </w:tcPr>
          <w:p>
            <w:pPr>
              <w:keepNext/>
              <w:keepLines/>
              <w:spacing w:after="0" w:line="240" w:lineRule="auto"/>
              <w:jc w:val="right"/>
            </w:pPr>
            <w:r>
              <w:rPr>
                <w:sz w:val="18"/>
              </w:rPr>
              <w:t>240,3</w:t>
            </w:r>
          </w:p>
        </w:tc>
      </w:tr>
    </w:tbl>
    <w:p>
      <w:pPr>
        <w:spacing w:after="0"/>
      </w:pPr>
    </w:p>
    <w:p>
      <w:r>
        <w:t>Povećanje prihoda od komunalnog doprinosa, radi se većim djelom o jednom komunalno doprinosu za Plodine d.d., ostalo je naplata dugovanja od komunalnog doprinosa, te zaduženja za 2025. godinu</w:t>
      </w:r>
    </w:p>
    <w:p/>
    <w:p>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683</w:t>
            </w:r>
          </w:p>
        </w:tc>
        <w:tc>
          <w:tcPr>
            <w:tcW w:w="3180" w:type="dxa"/>
            <w:tcMar>
              <w:top w:w="0" w:type="dxa"/>
              <w:bottom w:w="0" w:type="dxa"/>
            </w:tcMar>
            <w:vAlign w:val="center"/>
          </w:tcPr>
          <w:p>
            <w:pPr>
              <w:keepNext/>
              <w:keepLines/>
              <w:spacing w:after="0" w:line="240" w:lineRule="auto"/>
            </w:pPr>
            <w:r>
              <w:rPr>
                <w:sz w:val="18"/>
              </w:rPr>
              <w:t>Ostali prihodi</w:t>
            </w:r>
          </w:p>
        </w:tc>
        <w:tc>
          <w:tcPr>
            <w:tcW w:w="700" w:type="dxa"/>
            <w:tcMar>
              <w:top w:w="0" w:type="dxa"/>
              <w:bottom w:w="0" w:type="dxa"/>
            </w:tcMar>
            <w:vAlign w:val="center"/>
          </w:tcPr>
          <w:p>
            <w:pPr>
              <w:keepNext/>
              <w:keepLines/>
              <w:spacing w:after="0" w:line="240" w:lineRule="auto"/>
            </w:pPr>
            <w:r>
              <w:rPr>
                <w:sz w:val="18"/>
              </w:rPr>
              <w:t>683</w:t>
            </w:r>
          </w:p>
        </w:tc>
        <w:tc>
          <w:tcPr>
            <w:tcW w:w="1860" w:type="dxa"/>
            <w:tcMar>
              <w:top w:w="0" w:type="dxa"/>
              <w:bottom w:w="0" w:type="dxa"/>
            </w:tcMar>
            <w:vAlign w:val="center"/>
          </w:tcPr>
          <w:p>
            <w:pPr>
              <w:keepNext/>
              <w:keepLines/>
              <w:spacing w:after="0" w:line="240" w:lineRule="auto"/>
              <w:jc w:val="right"/>
            </w:pPr>
            <w:r>
              <w:rPr>
                <w:sz w:val="18"/>
              </w:rPr>
              <w:t>1.996,03</w:t>
            </w:r>
          </w:p>
        </w:tc>
        <w:tc>
          <w:tcPr>
            <w:tcW w:w="1860" w:type="dxa"/>
            <w:tcMar>
              <w:top w:w="0" w:type="dxa"/>
              <w:bottom w:w="0" w:type="dxa"/>
            </w:tcMar>
            <w:vAlign w:val="center"/>
          </w:tcPr>
          <w:p>
            <w:pPr>
              <w:keepNext/>
              <w:keepLines/>
              <w:spacing w:after="0" w:line="240" w:lineRule="auto"/>
              <w:jc w:val="right"/>
            </w:pPr>
            <w:r>
              <w:rPr>
                <w:sz w:val="18"/>
              </w:rPr>
              <w:t>13,59</w:t>
            </w:r>
          </w:p>
        </w:tc>
        <w:tc>
          <w:tcPr>
            <w:tcW w:w="700" w:type="dxa"/>
            <w:tcMar>
              <w:top w:w="0" w:type="dxa"/>
              <w:bottom w:w="0" w:type="dxa"/>
            </w:tcMar>
            <w:vAlign w:val="center"/>
          </w:tcPr>
          <w:p>
            <w:pPr>
              <w:keepNext/>
              <w:keepLines/>
              <w:spacing w:after="0" w:line="240" w:lineRule="auto"/>
              <w:jc w:val="right"/>
            </w:pPr>
            <w:r>
              <w:rPr>
                <w:sz w:val="18"/>
              </w:rPr>
              <w:t>0,7</w:t>
            </w:r>
          </w:p>
        </w:tc>
      </w:tr>
    </w:tbl>
    <w:p>
      <w:pPr>
        <w:spacing w:after="0"/>
      </w:pPr>
    </w:p>
    <w:p>
      <w:r>
        <w:t>Pad prihoda odnosi se na prihode od vodnog doprinosa </w:t>
      </w:r>
    </w:p>
    <w:p/>
    <w:p>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31</w:t>
            </w:r>
          </w:p>
        </w:tc>
        <w:tc>
          <w:tcPr>
            <w:tcW w:w="3180" w:type="dxa"/>
            <w:tcMar>
              <w:top w:w="0" w:type="dxa"/>
              <w:bottom w:w="0" w:type="dxa"/>
            </w:tcMar>
            <w:vAlign w:val="center"/>
          </w:tcPr>
          <w:p>
            <w:pPr>
              <w:keepNext/>
              <w:keepLines/>
              <w:spacing w:after="0" w:line="240" w:lineRule="auto"/>
            </w:pPr>
            <w:r>
              <w:rPr>
                <w:sz w:val="18"/>
              </w:rPr>
              <w:t>Rashodi za zaposlene (šifre 311+312+313)</w:t>
            </w:r>
          </w:p>
        </w:tc>
        <w:tc>
          <w:tcPr>
            <w:tcW w:w="700" w:type="dxa"/>
            <w:tcMar>
              <w:top w:w="0" w:type="dxa"/>
              <w:bottom w:w="0" w:type="dxa"/>
            </w:tcMar>
            <w:vAlign w:val="center"/>
          </w:tcPr>
          <w:p>
            <w:pPr>
              <w:keepNext/>
              <w:keepLines/>
              <w:spacing w:after="0" w:line="240" w:lineRule="auto"/>
            </w:pPr>
            <w:r>
              <w:rPr>
                <w:sz w:val="18"/>
              </w:rPr>
              <w:t>31</w:t>
            </w:r>
          </w:p>
        </w:tc>
        <w:tc>
          <w:tcPr>
            <w:tcW w:w="1860" w:type="dxa"/>
            <w:tcMar>
              <w:top w:w="0" w:type="dxa"/>
              <w:bottom w:w="0" w:type="dxa"/>
            </w:tcMar>
            <w:vAlign w:val="center"/>
          </w:tcPr>
          <w:p>
            <w:pPr>
              <w:keepNext/>
              <w:keepLines/>
              <w:spacing w:after="0" w:line="240" w:lineRule="auto"/>
              <w:jc w:val="right"/>
            </w:pPr>
            <w:r>
              <w:rPr>
                <w:sz w:val="18"/>
              </w:rPr>
              <w:t>149.260,89</w:t>
            </w:r>
          </w:p>
        </w:tc>
        <w:tc>
          <w:tcPr>
            <w:tcW w:w="1860" w:type="dxa"/>
            <w:tcMar>
              <w:top w:w="0" w:type="dxa"/>
              <w:bottom w:w="0" w:type="dxa"/>
            </w:tcMar>
            <w:vAlign w:val="center"/>
          </w:tcPr>
          <w:p>
            <w:pPr>
              <w:keepNext/>
              <w:keepLines/>
              <w:spacing w:after="0" w:line="240" w:lineRule="auto"/>
              <w:jc w:val="right"/>
            </w:pPr>
            <w:r>
              <w:rPr>
                <w:sz w:val="18"/>
              </w:rPr>
              <w:t>245.256,26</w:t>
            </w:r>
          </w:p>
        </w:tc>
        <w:tc>
          <w:tcPr>
            <w:tcW w:w="700" w:type="dxa"/>
            <w:tcMar>
              <w:top w:w="0" w:type="dxa"/>
              <w:bottom w:w="0" w:type="dxa"/>
            </w:tcMar>
            <w:vAlign w:val="center"/>
          </w:tcPr>
          <w:p>
            <w:pPr>
              <w:keepNext/>
              <w:keepLines/>
              <w:spacing w:after="0" w:line="240" w:lineRule="auto"/>
              <w:jc w:val="right"/>
            </w:pPr>
            <w:r>
              <w:rPr>
                <w:sz w:val="18"/>
              </w:rPr>
              <w:t>164,3</w:t>
            </w:r>
          </w:p>
        </w:tc>
      </w:tr>
    </w:tbl>
    <w:p>
      <w:pPr>
        <w:spacing w:after="0"/>
      </w:pPr>
    </w:p>
    <w:p>
      <w:r>
        <w:t>Povećanje rashoda za zaposlene se odnosi na povećanje koeficijenata za zaposlene, te korištenje prava na plaću starog načelnika, te dolazak novog načelnika te pravo na plaću za vreme profesionalnog obavljanja pozicije načelnika.</w:t>
      </w:r>
    </w:p>
    <w:p/>
    <w:p>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312</w:t>
            </w:r>
          </w:p>
        </w:tc>
        <w:tc>
          <w:tcPr>
            <w:tcW w:w="3180" w:type="dxa"/>
            <w:tcMar>
              <w:top w:w="0" w:type="dxa"/>
              <w:bottom w:w="0" w:type="dxa"/>
            </w:tcMar>
            <w:vAlign w:val="center"/>
          </w:tcPr>
          <w:p>
            <w:pPr>
              <w:keepNext/>
              <w:keepLines/>
              <w:spacing w:after="0" w:line="240" w:lineRule="auto"/>
            </w:pPr>
            <w:r>
              <w:rPr>
                <w:sz w:val="18"/>
              </w:rPr>
              <w:t>Ostali rashodi za zaposlene</w:t>
            </w:r>
          </w:p>
        </w:tc>
        <w:tc>
          <w:tcPr>
            <w:tcW w:w="700" w:type="dxa"/>
            <w:tcMar>
              <w:top w:w="0" w:type="dxa"/>
              <w:bottom w:w="0" w:type="dxa"/>
            </w:tcMar>
            <w:vAlign w:val="center"/>
          </w:tcPr>
          <w:p>
            <w:pPr>
              <w:keepNext/>
              <w:keepLines/>
              <w:spacing w:after="0" w:line="240" w:lineRule="auto"/>
            </w:pPr>
            <w:r>
              <w:rPr>
                <w:sz w:val="18"/>
              </w:rPr>
              <w:t>312</w:t>
            </w:r>
          </w:p>
        </w:tc>
        <w:tc>
          <w:tcPr>
            <w:tcW w:w="1860" w:type="dxa"/>
            <w:tcMar>
              <w:top w:w="0" w:type="dxa"/>
              <w:bottom w:w="0" w:type="dxa"/>
            </w:tcMar>
            <w:vAlign w:val="center"/>
          </w:tcPr>
          <w:p>
            <w:pPr>
              <w:keepNext/>
              <w:keepLines/>
              <w:spacing w:after="0" w:line="240" w:lineRule="auto"/>
              <w:jc w:val="right"/>
            </w:pPr>
            <w:r>
              <w:rPr>
                <w:sz w:val="18"/>
              </w:rPr>
              <w:t>13.737,76</w:t>
            </w:r>
          </w:p>
        </w:tc>
        <w:tc>
          <w:tcPr>
            <w:tcW w:w="1860" w:type="dxa"/>
            <w:tcMar>
              <w:top w:w="0" w:type="dxa"/>
              <w:bottom w:w="0" w:type="dxa"/>
            </w:tcMar>
            <w:vAlign w:val="center"/>
          </w:tcPr>
          <w:p>
            <w:pPr>
              <w:keepNext/>
              <w:keepLines/>
              <w:spacing w:after="0" w:line="240" w:lineRule="auto"/>
              <w:jc w:val="right"/>
            </w:pPr>
            <w:r>
              <w:rPr>
                <w:sz w:val="18"/>
              </w:rPr>
              <w:t>16.433,81</w:t>
            </w:r>
          </w:p>
        </w:tc>
        <w:tc>
          <w:tcPr>
            <w:tcW w:w="700" w:type="dxa"/>
            <w:tcMar>
              <w:top w:w="0" w:type="dxa"/>
              <w:bottom w:w="0" w:type="dxa"/>
            </w:tcMar>
            <w:vAlign w:val="center"/>
          </w:tcPr>
          <w:p>
            <w:pPr>
              <w:keepNext/>
              <w:keepLines/>
              <w:spacing w:after="0" w:line="240" w:lineRule="auto"/>
              <w:jc w:val="right"/>
            </w:pPr>
            <w:r>
              <w:rPr>
                <w:sz w:val="18"/>
              </w:rPr>
              <w:t>119,6</w:t>
            </w:r>
          </w:p>
        </w:tc>
      </w:tr>
    </w:tbl>
    <w:p>
      <w:pPr>
        <w:spacing w:after="0"/>
      </w:pPr>
    </w:p>
    <w:p>
      <w:r>
        <w:t>Odnosi se na isplatu prigodnih nagrada djelatnici koja je bila zamjena kolegice na porodiljinom.</w:t>
      </w:r>
    </w:p>
    <w:p/>
    <w:p>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313</w:t>
            </w:r>
          </w:p>
        </w:tc>
        <w:tc>
          <w:tcPr>
            <w:tcW w:w="3180" w:type="dxa"/>
            <w:tcMar>
              <w:top w:w="0" w:type="dxa"/>
              <w:bottom w:w="0" w:type="dxa"/>
            </w:tcMar>
            <w:vAlign w:val="center"/>
          </w:tcPr>
          <w:p>
            <w:pPr>
              <w:keepNext/>
              <w:keepLines/>
              <w:spacing w:after="0" w:line="240" w:lineRule="auto"/>
            </w:pPr>
            <w:r>
              <w:rPr>
                <w:sz w:val="18"/>
              </w:rPr>
              <w:t>Doprinosi na plaće (šifre 3131 do 3133)</w:t>
            </w:r>
          </w:p>
        </w:tc>
        <w:tc>
          <w:tcPr>
            <w:tcW w:w="700" w:type="dxa"/>
            <w:tcMar>
              <w:top w:w="0" w:type="dxa"/>
              <w:bottom w:w="0" w:type="dxa"/>
            </w:tcMar>
            <w:vAlign w:val="center"/>
          </w:tcPr>
          <w:p>
            <w:pPr>
              <w:keepNext/>
              <w:keepLines/>
              <w:spacing w:after="0" w:line="240" w:lineRule="auto"/>
            </w:pPr>
            <w:r>
              <w:rPr>
                <w:sz w:val="18"/>
              </w:rPr>
              <w:t>313</w:t>
            </w:r>
          </w:p>
        </w:tc>
        <w:tc>
          <w:tcPr>
            <w:tcW w:w="1860" w:type="dxa"/>
            <w:tcMar>
              <w:top w:w="0" w:type="dxa"/>
              <w:bottom w:w="0" w:type="dxa"/>
            </w:tcMar>
            <w:vAlign w:val="center"/>
          </w:tcPr>
          <w:p>
            <w:pPr>
              <w:keepNext/>
              <w:keepLines/>
              <w:spacing w:after="0" w:line="240" w:lineRule="auto"/>
              <w:jc w:val="right"/>
            </w:pPr>
            <w:r>
              <w:rPr>
                <w:sz w:val="18"/>
              </w:rPr>
              <w:t>40.985,86</w:t>
            </w:r>
          </w:p>
        </w:tc>
        <w:tc>
          <w:tcPr>
            <w:tcW w:w="1860" w:type="dxa"/>
            <w:tcMar>
              <w:top w:w="0" w:type="dxa"/>
              <w:bottom w:w="0" w:type="dxa"/>
            </w:tcMar>
            <w:vAlign w:val="center"/>
          </w:tcPr>
          <w:p>
            <w:pPr>
              <w:keepNext/>
              <w:keepLines/>
              <w:spacing w:after="0" w:line="240" w:lineRule="auto"/>
              <w:jc w:val="right"/>
            </w:pPr>
            <w:r>
              <w:rPr>
                <w:sz w:val="18"/>
              </w:rPr>
              <w:t>71.516,55</w:t>
            </w:r>
          </w:p>
        </w:tc>
        <w:tc>
          <w:tcPr>
            <w:tcW w:w="700" w:type="dxa"/>
            <w:tcMar>
              <w:top w:w="0" w:type="dxa"/>
              <w:bottom w:w="0" w:type="dxa"/>
            </w:tcMar>
            <w:vAlign w:val="center"/>
          </w:tcPr>
          <w:p>
            <w:pPr>
              <w:keepNext/>
              <w:keepLines/>
              <w:spacing w:after="0" w:line="240" w:lineRule="auto"/>
              <w:jc w:val="right"/>
            </w:pPr>
            <w:r>
              <w:rPr>
                <w:sz w:val="18"/>
              </w:rPr>
              <w:t>174,5</w:t>
            </w:r>
          </w:p>
        </w:tc>
      </w:tr>
    </w:tbl>
    <w:p>
      <w:pPr>
        <w:spacing w:after="0"/>
      </w:pPr>
    </w:p>
    <w:p>
      <w:r>
        <w:t>Povećanje doprinosa odnosi se na razloge povećanja plaće.</w:t>
      </w:r>
    </w:p>
    <w:p/>
    <w:p>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3224</w:t>
            </w:r>
          </w:p>
        </w:tc>
        <w:tc>
          <w:tcPr>
            <w:tcW w:w="3180" w:type="dxa"/>
            <w:tcMar>
              <w:top w:w="0" w:type="dxa"/>
              <w:bottom w:w="0" w:type="dxa"/>
            </w:tcMar>
            <w:vAlign w:val="center"/>
          </w:tcPr>
          <w:p>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pPr>
              <w:keepNext/>
              <w:keepLines/>
              <w:spacing w:after="0" w:line="240" w:lineRule="auto"/>
            </w:pPr>
            <w:r>
              <w:rPr>
                <w:sz w:val="18"/>
              </w:rPr>
              <w:t>3224</w:t>
            </w:r>
          </w:p>
        </w:tc>
        <w:tc>
          <w:tcPr>
            <w:tcW w:w="1860" w:type="dxa"/>
            <w:tcMar>
              <w:top w:w="0" w:type="dxa"/>
              <w:bottom w:w="0" w:type="dxa"/>
            </w:tcMar>
            <w:vAlign w:val="center"/>
          </w:tcPr>
          <w:p>
            <w:pPr>
              <w:keepNext/>
              <w:keepLines/>
              <w:spacing w:after="0" w:line="240" w:lineRule="auto"/>
              <w:jc w:val="right"/>
            </w:pPr>
            <w:r>
              <w:rPr>
                <w:sz w:val="18"/>
              </w:rPr>
              <w:t>608,98</w:t>
            </w:r>
          </w:p>
        </w:tc>
        <w:tc>
          <w:tcPr>
            <w:tcW w:w="1860" w:type="dxa"/>
            <w:tcMar>
              <w:top w:w="0" w:type="dxa"/>
              <w:bottom w:w="0" w:type="dxa"/>
            </w:tcMar>
            <w:vAlign w:val="center"/>
          </w:tcPr>
          <w:p>
            <w:pPr>
              <w:keepNext/>
              <w:keepLines/>
              <w:spacing w:after="0" w:line="240" w:lineRule="auto"/>
              <w:jc w:val="right"/>
            </w:pPr>
            <w:r>
              <w:rPr>
                <w:sz w:val="18"/>
              </w:rPr>
              <w:t>2.479,47</w:t>
            </w:r>
          </w:p>
        </w:tc>
        <w:tc>
          <w:tcPr>
            <w:tcW w:w="700" w:type="dxa"/>
            <w:tcMar>
              <w:top w:w="0" w:type="dxa"/>
              <w:bottom w:w="0" w:type="dxa"/>
            </w:tcMar>
            <w:vAlign w:val="center"/>
          </w:tcPr>
          <w:p>
            <w:pPr>
              <w:keepNext/>
              <w:keepLines/>
              <w:spacing w:after="0" w:line="240" w:lineRule="auto"/>
              <w:jc w:val="right"/>
            </w:pPr>
            <w:r>
              <w:rPr>
                <w:sz w:val="18"/>
              </w:rPr>
              <w:t>407,2</w:t>
            </w:r>
          </w:p>
        </w:tc>
      </w:tr>
    </w:tbl>
    <w:p>
      <w:pPr>
        <w:spacing w:after="0"/>
      </w:pPr>
    </w:p>
    <w:p>
      <w:r>
        <w:t>Povećanje rashoda za tekuće i investicijsko održavanje postojeće zgrade Općine</w:t>
      </w:r>
    </w:p>
    <w:p/>
    <w:p>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3225</w:t>
            </w:r>
          </w:p>
        </w:tc>
        <w:tc>
          <w:tcPr>
            <w:tcW w:w="3180" w:type="dxa"/>
            <w:tcMar>
              <w:top w:w="0" w:type="dxa"/>
              <w:bottom w:w="0" w:type="dxa"/>
            </w:tcMar>
            <w:vAlign w:val="center"/>
          </w:tcPr>
          <w:p>
            <w:pPr>
              <w:keepNext/>
              <w:keepLines/>
              <w:spacing w:after="0" w:line="240" w:lineRule="auto"/>
            </w:pPr>
            <w:r>
              <w:rPr>
                <w:sz w:val="18"/>
              </w:rPr>
              <w:t>Sitni inventar i autogume</w:t>
            </w:r>
          </w:p>
        </w:tc>
        <w:tc>
          <w:tcPr>
            <w:tcW w:w="700" w:type="dxa"/>
            <w:tcMar>
              <w:top w:w="0" w:type="dxa"/>
              <w:bottom w:w="0" w:type="dxa"/>
            </w:tcMar>
            <w:vAlign w:val="center"/>
          </w:tcPr>
          <w:p>
            <w:pPr>
              <w:keepNext/>
              <w:keepLines/>
              <w:spacing w:after="0" w:line="240" w:lineRule="auto"/>
            </w:pPr>
            <w:r>
              <w:rPr>
                <w:sz w:val="18"/>
              </w:rPr>
              <w:t>3225</w:t>
            </w:r>
          </w:p>
        </w:tc>
        <w:tc>
          <w:tcPr>
            <w:tcW w:w="1860" w:type="dxa"/>
            <w:tcMar>
              <w:top w:w="0" w:type="dxa"/>
              <w:bottom w:w="0" w:type="dxa"/>
            </w:tcMar>
            <w:vAlign w:val="center"/>
          </w:tcPr>
          <w:p>
            <w:pPr>
              <w:keepNext/>
              <w:keepLines/>
              <w:spacing w:after="0" w:line="240" w:lineRule="auto"/>
              <w:jc w:val="right"/>
            </w:pPr>
            <w:r>
              <w:rPr>
                <w:sz w:val="18"/>
              </w:rPr>
              <w:t>5.471,47</w:t>
            </w:r>
          </w:p>
        </w:tc>
        <w:tc>
          <w:tcPr>
            <w:tcW w:w="1860" w:type="dxa"/>
            <w:tcMar>
              <w:top w:w="0" w:type="dxa"/>
              <w:bottom w:w="0" w:type="dxa"/>
            </w:tcMar>
            <w:vAlign w:val="center"/>
          </w:tcPr>
          <w:p>
            <w:pPr>
              <w:keepNext/>
              <w:keepLines/>
              <w:spacing w:after="0" w:line="240" w:lineRule="auto"/>
              <w:jc w:val="right"/>
            </w:pPr>
            <w:r>
              <w:rPr>
                <w:sz w:val="18"/>
              </w:rPr>
              <w:t>9.008,72</w:t>
            </w:r>
          </w:p>
        </w:tc>
        <w:tc>
          <w:tcPr>
            <w:tcW w:w="700" w:type="dxa"/>
            <w:tcMar>
              <w:top w:w="0" w:type="dxa"/>
              <w:bottom w:w="0" w:type="dxa"/>
            </w:tcMar>
            <w:vAlign w:val="center"/>
          </w:tcPr>
          <w:p>
            <w:pPr>
              <w:keepNext/>
              <w:keepLines/>
              <w:spacing w:after="0" w:line="240" w:lineRule="auto"/>
              <w:jc w:val="right"/>
            </w:pPr>
            <w:r>
              <w:rPr>
                <w:sz w:val="18"/>
              </w:rPr>
              <w:t>164,6</w:t>
            </w:r>
          </w:p>
        </w:tc>
      </w:tr>
    </w:tbl>
    <w:p>
      <w:pPr>
        <w:spacing w:after="0"/>
      </w:pPr>
    </w:p>
    <w:p>
      <w:r>
        <w:t>Povećanje se odnosi na nabavu inventara koji je prijeko potreban, a pojedinačno je male vrijednosti</w:t>
      </w:r>
    </w:p>
    <w:p/>
    <w:p>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3232</w:t>
            </w:r>
          </w:p>
        </w:tc>
        <w:tc>
          <w:tcPr>
            <w:tcW w:w="3180" w:type="dxa"/>
            <w:tcMar>
              <w:top w:w="0" w:type="dxa"/>
              <w:bottom w:w="0" w:type="dxa"/>
            </w:tcMar>
            <w:vAlign w:val="center"/>
          </w:tcPr>
          <w:p>
            <w:pPr>
              <w:keepNext/>
              <w:keepLines/>
              <w:spacing w:after="0" w:line="240" w:lineRule="auto"/>
            </w:pPr>
            <w:r>
              <w:rPr>
                <w:sz w:val="18"/>
              </w:rPr>
              <w:t>Usluge tekućeg i investicijskog održavanja</w:t>
            </w:r>
          </w:p>
        </w:tc>
        <w:tc>
          <w:tcPr>
            <w:tcW w:w="700" w:type="dxa"/>
            <w:tcMar>
              <w:top w:w="0" w:type="dxa"/>
              <w:bottom w:w="0" w:type="dxa"/>
            </w:tcMar>
            <w:vAlign w:val="center"/>
          </w:tcPr>
          <w:p>
            <w:pPr>
              <w:keepNext/>
              <w:keepLines/>
              <w:spacing w:after="0" w:line="240" w:lineRule="auto"/>
            </w:pPr>
            <w:r>
              <w:rPr>
                <w:sz w:val="18"/>
              </w:rPr>
              <w:t>3232</w:t>
            </w:r>
          </w:p>
        </w:tc>
        <w:tc>
          <w:tcPr>
            <w:tcW w:w="1860" w:type="dxa"/>
            <w:tcMar>
              <w:top w:w="0" w:type="dxa"/>
              <w:bottom w:w="0" w:type="dxa"/>
            </w:tcMar>
            <w:vAlign w:val="center"/>
          </w:tcPr>
          <w:p>
            <w:pPr>
              <w:keepNext/>
              <w:keepLines/>
              <w:spacing w:after="0" w:line="240" w:lineRule="auto"/>
              <w:jc w:val="right"/>
            </w:pPr>
            <w:r>
              <w:rPr>
                <w:sz w:val="18"/>
              </w:rPr>
              <w:t>193.563,08</w:t>
            </w:r>
          </w:p>
        </w:tc>
        <w:tc>
          <w:tcPr>
            <w:tcW w:w="1860" w:type="dxa"/>
            <w:tcMar>
              <w:top w:w="0" w:type="dxa"/>
              <w:bottom w:w="0" w:type="dxa"/>
            </w:tcMar>
            <w:vAlign w:val="center"/>
          </w:tcPr>
          <w:p>
            <w:pPr>
              <w:keepNext/>
              <w:keepLines/>
              <w:spacing w:after="0" w:line="240" w:lineRule="auto"/>
              <w:jc w:val="right"/>
            </w:pPr>
            <w:r>
              <w:rPr>
                <w:sz w:val="18"/>
              </w:rPr>
              <w:t>396.260,85</w:t>
            </w:r>
          </w:p>
        </w:tc>
        <w:tc>
          <w:tcPr>
            <w:tcW w:w="700" w:type="dxa"/>
            <w:tcMar>
              <w:top w:w="0" w:type="dxa"/>
              <w:bottom w:w="0" w:type="dxa"/>
            </w:tcMar>
            <w:vAlign w:val="center"/>
          </w:tcPr>
          <w:p>
            <w:pPr>
              <w:keepNext/>
              <w:keepLines/>
              <w:spacing w:after="0" w:line="240" w:lineRule="auto"/>
              <w:jc w:val="right"/>
            </w:pPr>
            <w:r>
              <w:rPr>
                <w:sz w:val="18"/>
              </w:rPr>
              <w:t>204,7</w:t>
            </w:r>
          </w:p>
        </w:tc>
      </w:tr>
    </w:tbl>
    <w:p>
      <w:pPr>
        <w:spacing w:after="0"/>
      </w:pPr>
    </w:p>
    <w:p>
      <w:r>
        <w:t>Odnosi se na povećanje tekućeg održavanja pomorskog dobra, tekućem održavanju javne rasvjete i nerazvrstanih prometnica, sve u skladu sa ugovorima o održavanju.</w:t>
      </w:r>
    </w:p>
    <w:p/>
    <w:p>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3237</w:t>
            </w:r>
          </w:p>
        </w:tc>
        <w:tc>
          <w:tcPr>
            <w:tcW w:w="3180" w:type="dxa"/>
            <w:tcMar>
              <w:top w:w="0" w:type="dxa"/>
              <w:bottom w:w="0" w:type="dxa"/>
            </w:tcMar>
            <w:vAlign w:val="center"/>
          </w:tcPr>
          <w:p>
            <w:pPr>
              <w:keepNext/>
              <w:keepLines/>
              <w:spacing w:after="0" w:line="240" w:lineRule="auto"/>
            </w:pPr>
            <w:r>
              <w:rPr>
                <w:sz w:val="18"/>
              </w:rPr>
              <w:t>Intelektualne i osobne usluge</w:t>
            </w:r>
          </w:p>
        </w:tc>
        <w:tc>
          <w:tcPr>
            <w:tcW w:w="700" w:type="dxa"/>
            <w:tcMar>
              <w:top w:w="0" w:type="dxa"/>
              <w:bottom w:w="0" w:type="dxa"/>
            </w:tcMar>
            <w:vAlign w:val="center"/>
          </w:tcPr>
          <w:p>
            <w:pPr>
              <w:keepNext/>
              <w:keepLines/>
              <w:spacing w:after="0" w:line="240" w:lineRule="auto"/>
            </w:pPr>
            <w:r>
              <w:rPr>
                <w:sz w:val="18"/>
              </w:rPr>
              <w:t>3237</w:t>
            </w:r>
          </w:p>
        </w:tc>
        <w:tc>
          <w:tcPr>
            <w:tcW w:w="1860" w:type="dxa"/>
            <w:tcMar>
              <w:top w:w="0" w:type="dxa"/>
              <w:bottom w:w="0" w:type="dxa"/>
            </w:tcMar>
            <w:vAlign w:val="center"/>
          </w:tcPr>
          <w:p>
            <w:pPr>
              <w:keepNext/>
              <w:keepLines/>
              <w:spacing w:after="0" w:line="240" w:lineRule="auto"/>
              <w:jc w:val="right"/>
            </w:pPr>
            <w:r>
              <w:rPr>
                <w:sz w:val="18"/>
              </w:rPr>
              <w:t>48.373,84</w:t>
            </w:r>
          </w:p>
        </w:tc>
        <w:tc>
          <w:tcPr>
            <w:tcW w:w="1860" w:type="dxa"/>
            <w:tcMar>
              <w:top w:w="0" w:type="dxa"/>
              <w:bottom w:w="0" w:type="dxa"/>
            </w:tcMar>
            <w:vAlign w:val="center"/>
          </w:tcPr>
          <w:p>
            <w:pPr>
              <w:keepNext/>
              <w:keepLines/>
              <w:spacing w:after="0" w:line="240" w:lineRule="auto"/>
              <w:jc w:val="right"/>
            </w:pPr>
            <w:r>
              <w:rPr>
                <w:sz w:val="18"/>
              </w:rPr>
              <w:t>73.322,52</w:t>
            </w:r>
          </w:p>
        </w:tc>
        <w:tc>
          <w:tcPr>
            <w:tcW w:w="700" w:type="dxa"/>
            <w:tcMar>
              <w:top w:w="0" w:type="dxa"/>
              <w:bottom w:w="0" w:type="dxa"/>
            </w:tcMar>
            <w:vAlign w:val="center"/>
          </w:tcPr>
          <w:p>
            <w:pPr>
              <w:keepNext/>
              <w:keepLines/>
              <w:spacing w:after="0" w:line="240" w:lineRule="auto"/>
              <w:jc w:val="right"/>
            </w:pPr>
            <w:r>
              <w:rPr>
                <w:sz w:val="18"/>
              </w:rPr>
              <w:t>151,6</w:t>
            </w:r>
          </w:p>
        </w:tc>
      </w:tr>
    </w:tbl>
    <w:p>
      <w:pPr>
        <w:spacing w:after="0"/>
      </w:pPr>
    </w:p>
    <w:p>
      <w:r>
        <w:t>Povećanje se odnosi na korištenje geodetski usluga, usluga firme za provođenje javne nabave, usluge stručnog nadzora kod asfaltiranja prometnica, te usluge kod vođenja eu projekata</w:t>
      </w:r>
    </w:p>
    <w:p/>
    <w:p>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3291</w:t>
            </w:r>
          </w:p>
        </w:tc>
        <w:tc>
          <w:tcPr>
            <w:tcW w:w="3180" w:type="dxa"/>
            <w:tcMar>
              <w:top w:w="0" w:type="dxa"/>
              <w:bottom w:w="0" w:type="dxa"/>
            </w:tcMar>
            <w:vAlign w:val="center"/>
          </w:tcPr>
          <w:p>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pPr>
              <w:keepNext/>
              <w:keepLines/>
              <w:spacing w:after="0" w:line="240" w:lineRule="auto"/>
            </w:pPr>
            <w:r>
              <w:rPr>
                <w:sz w:val="18"/>
              </w:rPr>
              <w:t>3291</w:t>
            </w:r>
          </w:p>
        </w:tc>
        <w:tc>
          <w:tcPr>
            <w:tcW w:w="1860" w:type="dxa"/>
            <w:tcMar>
              <w:top w:w="0" w:type="dxa"/>
              <w:bottom w:w="0" w:type="dxa"/>
            </w:tcMar>
            <w:vAlign w:val="center"/>
          </w:tcPr>
          <w:p>
            <w:pPr>
              <w:keepNext/>
              <w:keepLines/>
              <w:spacing w:after="0" w:line="240" w:lineRule="auto"/>
              <w:jc w:val="right"/>
            </w:pPr>
            <w:r>
              <w:rPr>
                <w:sz w:val="18"/>
              </w:rPr>
              <w:t>11.244,38</w:t>
            </w:r>
          </w:p>
        </w:tc>
        <w:tc>
          <w:tcPr>
            <w:tcW w:w="1860" w:type="dxa"/>
            <w:tcMar>
              <w:top w:w="0" w:type="dxa"/>
              <w:bottom w:w="0" w:type="dxa"/>
            </w:tcMar>
            <w:vAlign w:val="center"/>
          </w:tcPr>
          <w:p>
            <w:pPr>
              <w:keepNext/>
              <w:keepLines/>
              <w:spacing w:after="0" w:line="240" w:lineRule="auto"/>
              <w:jc w:val="right"/>
            </w:pPr>
            <w:r>
              <w:rPr>
                <w:sz w:val="18"/>
              </w:rPr>
              <w:t>20.238,81</w:t>
            </w:r>
          </w:p>
        </w:tc>
        <w:tc>
          <w:tcPr>
            <w:tcW w:w="700" w:type="dxa"/>
            <w:tcMar>
              <w:top w:w="0" w:type="dxa"/>
              <w:bottom w:w="0" w:type="dxa"/>
            </w:tcMar>
            <w:vAlign w:val="center"/>
          </w:tcPr>
          <w:p>
            <w:pPr>
              <w:keepNext/>
              <w:keepLines/>
              <w:spacing w:after="0" w:line="240" w:lineRule="auto"/>
              <w:jc w:val="right"/>
            </w:pPr>
            <w:r>
              <w:rPr>
                <w:sz w:val="18"/>
              </w:rPr>
              <w:t>180,0</w:t>
            </w:r>
          </w:p>
        </w:tc>
      </w:tr>
    </w:tbl>
    <w:p>
      <w:pPr>
        <w:spacing w:after="0"/>
      </w:pPr>
    </w:p>
    <w:p>
      <w:r>
        <w:t>Povećanje se odnosi na troškove lokalnih izbora koji su održani u svibnju 2025. godine</w:t>
      </w:r>
    </w:p>
    <w:p/>
    <w:p>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3292</w:t>
            </w:r>
          </w:p>
        </w:tc>
        <w:tc>
          <w:tcPr>
            <w:tcW w:w="3180" w:type="dxa"/>
            <w:tcMar>
              <w:top w:w="0" w:type="dxa"/>
              <w:bottom w:w="0" w:type="dxa"/>
            </w:tcMar>
            <w:vAlign w:val="center"/>
          </w:tcPr>
          <w:p>
            <w:pPr>
              <w:keepNext/>
              <w:keepLines/>
              <w:spacing w:after="0" w:line="240" w:lineRule="auto"/>
            </w:pPr>
            <w:r>
              <w:rPr>
                <w:sz w:val="18"/>
              </w:rPr>
              <w:t>Premije osiguranja</w:t>
            </w:r>
          </w:p>
        </w:tc>
        <w:tc>
          <w:tcPr>
            <w:tcW w:w="700" w:type="dxa"/>
            <w:tcMar>
              <w:top w:w="0" w:type="dxa"/>
              <w:bottom w:w="0" w:type="dxa"/>
            </w:tcMar>
            <w:vAlign w:val="center"/>
          </w:tcPr>
          <w:p>
            <w:pPr>
              <w:keepNext/>
              <w:keepLines/>
              <w:spacing w:after="0" w:line="240" w:lineRule="auto"/>
            </w:pPr>
            <w:r>
              <w:rPr>
                <w:sz w:val="18"/>
              </w:rPr>
              <w:t>3292</w:t>
            </w:r>
          </w:p>
        </w:tc>
        <w:tc>
          <w:tcPr>
            <w:tcW w:w="1860" w:type="dxa"/>
            <w:tcMar>
              <w:top w:w="0" w:type="dxa"/>
              <w:bottom w:w="0" w:type="dxa"/>
            </w:tcMar>
            <w:vAlign w:val="center"/>
          </w:tcPr>
          <w:p>
            <w:pPr>
              <w:keepNext/>
              <w:keepLines/>
              <w:spacing w:after="0" w:line="240" w:lineRule="auto"/>
              <w:jc w:val="right"/>
            </w:pPr>
            <w:r>
              <w:rPr>
                <w:sz w:val="18"/>
              </w:rPr>
              <w:t>1.028,35</w:t>
            </w:r>
          </w:p>
        </w:tc>
        <w:tc>
          <w:tcPr>
            <w:tcW w:w="1860" w:type="dxa"/>
            <w:tcMar>
              <w:top w:w="0" w:type="dxa"/>
              <w:bottom w:w="0" w:type="dxa"/>
            </w:tcMar>
            <w:vAlign w:val="center"/>
          </w:tcPr>
          <w:p>
            <w:pPr>
              <w:keepNext/>
              <w:keepLines/>
              <w:spacing w:after="0" w:line="240" w:lineRule="auto"/>
              <w:jc w:val="right"/>
            </w:pPr>
            <w:r>
              <w:rPr>
                <w:sz w:val="18"/>
              </w:rPr>
              <w:t>3.147,14</w:t>
            </w:r>
          </w:p>
        </w:tc>
        <w:tc>
          <w:tcPr>
            <w:tcW w:w="700" w:type="dxa"/>
            <w:tcMar>
              <w:top w:w="0" w:type="dxa"/>
              <w:bottom w:w="0" w:type="dxa"/>
            </w:tcMar>
            <w:vAlign w:val="center"/>
          </w:tcPr>
          <w:p>
            <w:pPr>
              <w:keepNext/>
              <w:keepLines/>
              <w:spacing w:after="0" w:line="240" w:lineRule="auto"/>
              <w:jc w:val="right"/>
            </w:pPr>
            <w:r>
              <w:rPr>
                <w:sz w:val="18"/>
              </w:rPr>
              <w:t>306,0</w:t>
            </w:r>
          </w:p>
        </w:tc>
      </w:tr>
    </w:tbl>
    <w:p>
      <w:pPr>
        <w:spacing w:after="0"/>
      </w:pPr>
    </w:p>
    <w:p>
      <w:r>
        <w:t>Povećanje se odnosi na ugovaranje polica osiguranja za zgradu općine.</w:t>
      </w:r>
    </w:p>
    <w:p/>
    <w:p>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3431</w:t>
            </w:r>
          </w:p>
        </w:tc>
        <w:tc>
          <w:tcPr>
            <w:tcW w:w="3180" w:type="dxa"/>
            <w:tcMar>
              <w:top w:w="0" w:type="dxa"/>
              <w:bottom w:w="0" w:type="dxa"/>
            </w:tcMar>
            <w:vAlign w:val="center"/>
          </w:tcPr>
          <w:p>
            <w:pPr>
              <w:keepNext/>
              <w:keepLines/>
              <w:spacing w:after="0" w:line="240" w:lineRule="auto"/>
            </w:pPr>
            <w:r>
              <w:rPr>
                <w:sz w:val="18"/>
              </w:rPr>
              <w:t>Bankarske usluge i usluge platnog prometa</w:t>
            </w:r>
          </w:p>
        </w:tc>
        <w:tc>
          <w:tcPr>
            <w:tcW w:w="700" w:type="dxa"/>
            <w:tcMar>
              <w:top w:w="0" w:type="dxa"/>
              <w:bottom w:w="0" w:type="dxa"/>
            </w:tcMar>
            <w:vAlign w:val="center"/>
          </w:tcPr>
          <w:p>
            <w:pPr>
              <w:keepNext/>
              <w:keepLines/>
              <w:spacing w:after="0" w:line="240" w:lineRule="auto"/>
            </w:pPr>
            <w:r>
              <w:rPr>
                <w:sz w:val="18"/>
              </w:rPr>
              <w:t>3431</w:t>
            </w:r>
          </w:p>
        </w:tc>
        <w:tc>
          <w:tcPr>
            <w:tcW w:w="1860" w:type="dxa"/>
            <w:tcMar>
              <w:top w:w="0" w:type="dxa"/>
              <w:bottom w:w="0" w:type="dxa"/>
            </w:tcMar>
            <w:vAlign w:val="center"/>
          </w:tcPr>
          <w:p>
            <w:pPr>
              <w:keepNext/>
              <w:keepLines/>
              <w:spacing w:after="0" w:line="240" w:lineRule="auto"/>
              <w:jc w:val="right"/>
            </w:pPr>
            <w:r>
              <w:rPr>
                <w:sz w:val="18"/>
              </w:rPr>
              <w:t>1.949,23</w:t>
            </w:r>
          </w:p>
        </w:tc>
        <w:tc>
          <w:tcPr>
            <w:tcW w:w="1860" w:type="dxa"/>
            <w:tcMar>
              <w:top w:w="0" w:type="dxa"/>
              <w:bottom w:w="0" w:type="dxa"/>
            </w:tcMar>
            <w:vAlign w:val="center"/>
          </w:tcPr>
          <w:p>
            <w:pPr>
              <w:keepNext/>
              <w:keepLines/>
              <w:spacing w:after="0" w:line="240" w:lineRule="auto"/>
              <w:jc w:val="right"/>
            </w:pPr>
            <w:r>
              <w:rPr>
                <w:sz w:val="18"/>
              </w:rPr>
              <w:t>2.439,68</w:t>
            </w:r>
          </w:p>
        </w:tc>
        <w:tc>
          <w:tcPr>
            <w:tcW w:w="700" w:type="dxa"/>
            <w:tcMar>
              <w:top w:w="0" w:type="dxa"/>
              <w:bottom w:w="0" w:type="dxa"/>
            </w:tcMar>
            <w:vAlign w:val="center"/>
          </w:tcPr>
          <w:p>
            <w:pPr>
              <w:keepNext/>
              <w:keepLines/>
              <w:spacing w:after="0" w:line="240" w:lineRule="auto"/>
              <w:jc w:val="right"/>
            </w:pPr>
            <w:r>
              <w:rPr>
                <w:sz w:val="18"/>
              </w:rPr>
              <w:t>125,2</w:t>
            </w:r>
          </w:p>
        </w:tc>
      </w:tr>
    </w:tbl>
    <w:p>
      <w:pPr>
        <w:spacing w:after="0"/>
      </w:pPr>
    </w:p>
    <w:p>
      <w:r>
        <w:t>Povećanje se odnosi na otvaranje novog računa za vođenje eu projekta.</w:t>
      </w:r>
    </w:p>
    <w:p/>
    <w:p>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37</w:t>
            </w:r>
          </w:p>
        </w:tc>
        <w:tc>
          <w:tcPr>
            <w:tcW w:w="3180" w:type="dxa"/>
            <w:tcMar>
              <w:top w:w="0" w:type="dxa"/>
              <w:bottom w:w="0" w:type="dxa"/>
            </w:tcMar>
            <w:vAlign w:val="center"/>
          </w:tcPr>
          <w:p>
            <w:pPr>
              <w:keepNext/>
              <w:keepLines/>
              <w:spacing w:after="0" w:line="240" w:lineRule="auto"/>
            </w:pPr>
            <w:r>
              <w:rPr>
                <w:sz w:val="18"/>
              </w:rPr>
              <w:t>Naknade građanima i kućanstvima na temelju osiguranja i druge naknade (šifre 371+372)</w:t>
            </w:r>
          </w:p>
        </w:tc>
        <w:tc>
          <w:tcPr>
            <w:tcW w:w="700" w:type="dxa"/>
            <w:tcMar>
              <w:top w:w="0" w:type="dxa"/>
              <w:bottom w:w="0" w:type="dxa"/>
            </w:tcMar>
            <w:vAlign w:val="center"/>
          </w:tcPr>
          <w:p>
            <w:pPr>
              <w:keepNext/>
              <w:keepLines/>
              <w:spacing w:after="0" w:line="240" w:lineRule="auto"/>
            </w:pPr>
            <w:r>
              <w:rPr>
                <w:sz w:val="18"/>
              </w:rPr>
              <w:t>37</w:t>
            </w:r>
          </w:p>
        </w:tc>
        <w:tc>
          <w:tcPr>
            <w:tcW w:w="1860" w:type="dxa"/>
            <w:tcMar>
              <w:top w:w="0" w:type="dxa"/>
              <w:bottom w:w="0" w:type="dxa"/>
            </w:tcMar>
            <w:vAlign w:val="center"/>
          </w:tcPr>
          <w:p>
            <w:pPr>
              <w:keepNext/>
              <w:keepLines/>
              <w:spacing w:after="0" w:line="240" w:lineRule="auto"/>
              <w:jc w:val="right"/>
            </w:pPr>
            <w:r>
              <w:rPr>
                <w:sz w:val="18"/>
              </w:rPr>
              <w:t>207.006,51</w:t>
            </w:r>
          </w:p>
        </w:tc>
        <w:tc>
          <w:tcPr>
            <w:tcW w:w="1860" w:type="dxa"/>
            <w:tcMar>
              <w:top w:w="0" w:type="dxa"/>
              <w:bottom w:w="0" w:type="dxa"/>
            </w:tcMar>
            <w:vAlign w:val="center"/>
          </w:tcPr>
          <w:p>
            <w:pPr>
              <w:keepNext/>
              <w:keepLines/>
              <w:spacing w:after="0" w:line="240" w:lineRule="auto"/>
              <w:jc w:val="right"/>
            </w:pPr>
            <w:r>
              <w:rPr>
                <w:sz w:val="18"/>
              </w:rPr>
              <w:t>358.096,98</w:t>
            </w:r>
          </w:p>
        </w:tc>
        <w:tc>
          <w:tcPr>
            <w:tcW w:w="700" w:type="dxa"/>
            <w:tcMar>
              <w:top w:w="0" w:type="dxa"/>
              <w:bottom w:w="0" w:type="dxa"/>
            </w:tcMar>
            <w:vAlign w:val="center"/>
          </w:tcPr>
          <w:p>
            <w:pPr>
              <w:keepNext/>
              <w:keepLines/>
              <w:spacing w:after="0" w:line="240" w:lineRule="auto"/>
              <w:jc w:val="right"/>
            </w:pPr>
            <w:r>
              <w:rPr>
                <w:sz w:val="18"/>
              </w:rPr>
              <w:t>173,0</w:t>
            </w:r>
          </w:p>
        </w:tc>
      </w:tr>
    </w:tbl>
    <w:p>
      <w:pPr>
        <w:spacing w:after="0"/>
      </w:pPr>
    </w:p>
    <w:p>
      <w:r>
        <w:t>Povećanje se odnosi na povećanje naknada za novorođenu djecu, zatim uvedene su božićnice umirovljenicima, povećane su isplate za troškove liječenja bolesnim ljudima.</w:t>
      </w:r>
    </w:p>
    <w:p/>
    <w:p>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41</w:t>
            </w:r>
          </w:p>
        </w:tc>
        <w:tc>
          <w:tcPr>
            <w:tcW w:w="3180" w:type="dxa"/>
            <w:tcMar>
              <w:top w:w="0" w:type="dxa"/>
              <w:bottom w:w="0" w:type="dxa"/>
            </w:tcMar>
            <w:vAlign w:val="center"/>
          </w:tcPr>
          <w:p>
            <w:pPr>
              <w:keepNext/>
              <w:keepLines/>
              <w:spacing w:after="0" w:line="240" w:lineRule="auto"/>
            </w:pPr>
            <w:r>
              <w:rPr>
                <w:sz w:val="18"/>
              </w:rPr>
              <w:t>Rashodi za nabavu neproizvedene dugotrajne imovine (šifre 411+412)</w:t>
            </w:r>
          </w:p>
        </w:tc>
        <w:tc>
          <w:tcPr>
            <w:tcW w:w="700" w:type="dxa"/>
            <w:tcMar>
              <w:top w:w="0" w:type="dxa"/>
              <w:bottom w:w="0" w:type="dxa"/>
            </w:tcMar>
            <w:vAlign w:val="center"/>
          </w:tcPr>
          <w:p>
            <w:pPr>
              <w:keepNext/>
              <w:keepLines/>
              <w:spacing w:after="0" w:line="240" w:lineRule="auto"/>
            </w:pPr>
            <w:r>
              <w:rPr>
                <w:sz w:val="18"/>
              </w:rPr>
              <w:t>41</w:t>
            </w:r>
          </w:p>
        </w:tc>
        <w:tc>
          <w:tcPr>
            <w:tcW w:w="1860" w:type="dxa"/>
            <w:tcMar>
              <w:top w:w="0" w:type="dxa"/>
              <w:bottom w:w="0" w:type="dxa"/>
            </w:tcMar>
            <w:vAlign w:val="center"/>
          </w:tcPr>
          <w:p>
            <w:pPr>
              <w:keepNext/>
              <w:keepLines/>
              <w:spacing w:after="0" w:line="240" w:lineRule="auto"/>
              <w:jc w:val="right"/>
            </w:pPr>
            <w:r>
              <w:rPr>
                <w:sz w:val="18"/>
              </w:rPr>
              <w:t>4.625,00</w:t>
            </w:r>
          </w:p>
        </w:tc>
        <w:tc>
          <w:tcPr>
            <w:tcW w:w="1860" w:type="dxa"/>
            <w:tcMar>
              <w:top w:w="0" w:type="dxa"/>
              <w:bottom w:w="0" w:type="dxa"/>
            </w:tcMar>
            <w:vAlign w:val="center"/>
          </w:tcPr>
          <w:p>
            <w:pPr>
              <w:keepNext/>
              <w:keepLines/>
              <w:spacing w:after="0" w:line="240" w:lineRule="auto"/>
              <w:jc w:val="right"/>
            </w:pPr>
            <w:r>
              <w:rPr>
                <w:sz w:val="18"/>
              </w:rPr>
              <w:t>25.625,00</w:t>
            </w:r>
          </w:p>
        </w:tc>
        <w:tc>
          <w:tcPr>
            <w:tcW w:w="700" w:type="dxa"/>
            <w:tcMar>
              <w:top w:w="0" w:type="dxa"/>
              <w:bottom w:w="0" w:type="dxa"/>
            </w:tcMar>
            <w:vAlign w:val="center"/>
          </w:tcPr>
          <w:p>
            <w:pPr>
              <w:keepNext/>
              <w:keepLines/>
              <w:spacing w:after="0" w:line="240" w:lineRule="auto"/>
              <w:jc w:val="right"/>
            </w:pPr>
            <w:r>
              <w:rPr>
                <w:sz w:val="18"/>
              </w:rPr>
              <w:t>554,1</w:t>
            </w:r>
          </w:p>
        </w:tc>
      </w:tr>
    </w:tbl>
    <w:p>
      <w:pPr>
        <w:spacing w:after="0"/>
      </w:pPr>
    </w:p>
    <w:p>
      <w:r>
        <w:t>Povećanje se odnosi na projektnu dokumentaciju, te elaborate vezano za izgradnju nove škole </w:t>
      </w:r>
    </w:p>
    <w:p/>
    <w:p>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42</w:t>
            </w:r>
          </w:p>
        </w:tc>
        <w:tc>
          <w:tcPr>
            <w:tcW w:w="3180" w:type="dxa"/>
            <w:tcMar>
              <w:top w:w="0" w:type="dxa"/>
              <w:bottom w:w="0" w:type="dxa"/>
            </w:tcMar>
            <w:vAlign w:val="center"/>
          </w:tcPr>
          <w:p>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pPr>
              <w:keepNext/>
              <w:keepLines/>
              <w:spacing w:after="0" w:line="240" w:lineRule="auto"/>
            </w:pPr>
            <w:r>
              <w:rPr>
                <w:sz w:val="18"/>
              </w:rPr>
              <w:t>42</w:t>
            </w:r>
          </w:p>
        </w:tc>
        <w:tc>
          <w:tcPr>
            <w:tcW w:w="1860" w:type="dxa"/>
            <w:tcMar>
              <w:top w:w="0" w:type="dxa"/>
              <w:bottom w:w="0" w:type="dxa"/>
            </w:tcMar>
            <w:vAlign w:val="center"/>
          </w:tcPr>
          <w:p>
            <w:pPr>
              <w:keepNext/>
              <w:keepLines/>
              <w:spacing w:after="0" w:line="240" w:lineRule="auto"/>
              <w:jc w:val="right"/>
            </w:pPr>
            <w:r>
              <w:rPr>
                <w:sz w:val="18"/>
              </w:rPr>
              <w:t>261.743,09</w:t>
            </w:r>
          </w:p>
        </w:tc>
        <w:tc>
          <w:tcPr>
            <w:tcW w:w="1860" w:type="dxa"/>
            <w:tcMar>
              <w:top w:w="0" w:type="dxa"/>
              <w:bottom w:w="0" w:type="dxa"/>
            </w:tcMar>
            <w:vAlign w:val="center"/>
          </w:tcPr>
          <w:p>
            <w:pPr>
              <w:keepNext/>
              <w:keepLines/>
              <w:spacing w:after="0" w:line="240" w:lineRule="auto"/>
              <w:jc w:val="right"/>
            </w:pPr>
            <w:r>
              <w:rPr>
                <w:sz w:val="18"/>
              </w:rPr>
              <w:t>688.547,65</w:t>
            </w:r>
          </w:p>
        </w:tc>
        <w:tc>
          <w:tcPr>
            <w:tcW w:w="700" w:type="dxa"/>
            <w:tcMar>
              <w:top w:w="0" w:type="dxa"/>
              <w:bottom w:w="0" w:type="dxa"/>
            </w:tcMar>
            <w:vAlign w:val="center"/>
          </w:tcPr>
          <w:p>
            <w:pPr>
              <w:keepNext/>
              <w:keepLines/>
              <w:spacing w:after="0" w:line="240" w:lineRule="auto"/>
              <w:jc w:val="right"/>
            </w:pPr>
            <w:r>
              <w:rPr>
                <w:sz w:val="18"/>
              </w:rPr>
              <w:t>263,1</w:t>
            </w:r>
          </w:p>
        </w:tc>
      </w:tr>
    </w:tbl>
    <w:p>
      <w:pPr>
        <w:spacing w:after="0"/>
      </w:pPr>
    </w:p>
    <w:p>
      <w:r>
        <w:t>Povećanje se odnosi na asfalitranje više prometnica, izgradnja Vatrogasnog doma, izgradnja dječjih igrališta, te obnova postojećih igrališta</w:t>
      </w:r>
    </w:p>
    <w:p/>
    <w:p>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4212</w:t>
            </w:r>
          </w:p>
        </w:tc>
        <w:tc>
          <w:tcPr>
            <w:tcW w:w="3180" w:type="dxa"/>
            <w:tcMar>
              <w:top w:w="0" w:type="dxa"/>
              <w:bottom w:w="0" w:type="dxa"/>
            </w:tcMar>
            <w:vAlign w:val="center"/>
          </w:tcPr>
          <w:p>
            <w:pPr>
              <w:keepNext/>
              <w:keepLines/>
              <w:spacing w:after="0" w:line="240" w:lineRule="auto"/>
            </w:pPr>
            <w:r>
              <w:rPr>
                <w:sz w:val="18"/>
              </w:rPr>
              <w:t>Poslovni objekti</w:t>
            </w:r>
          </w:p>
        </w:tc>
        <w:tc>
          <w:tcPr>
            <w:tcW w:w="700" w:type="dxa"/>
            <w:tcMar>
              <w:top w:w="0" w:type="dxa"/>
              <w:bottom w:w="0" w:type="dxa"/>
            </w:tcMar>
            <w:vAlign w:val="center"/>
          </w:tcPr>
          <w:p>
            <w:pPr>
              <w:keepNext/>
              <w:keepLines/>
              <w:spacing w:after="0" w:line="240" w:lineRule="auto"/>
            </w:pPr>
            <w:r>
              <w:rPr>
                <w:sz w:val="18"/>
              </w:rPr>
              <w:t>4212</w:t>
            </w:r>
          </w:p>
        </w:tc>
        <w:tc>
          <w:tcPr>
            <w:tcW w:w="1860" w:type="dxa"/>
            <w:tcMar>
              <w:top w:w="0" w:type="dxa"/>
              <w:bottom w:w="0" w:type="dxa"/>
            </w:tcMar>
            <w:vAlign w:val="center"/>
          </w:tcPr>
          <w:p>
            <w:pPr>
              <w:keepNext/>
              <w:keepLines/>
              <w:spacing w:after="0" w:line="240" w:lineRule="auto"/>
              <w:jc w:val="right"/>
            </w:pPr>
            <w:r>
              <w:rPr>
                <w:sz w:val="18"/>
              </w:rPr>
              <w:t>358,93</w:t>
            </w:r>
          </w:p>
        </w:tc>
        <w:tc>
          <w:tcPr>
            <w:tcW w:w="1860" w:type="dxa"/>
            <w:tcMar>
              <w:top w:w="0" w:type="dxa"/>
              <w:bottom w:w="0" w:type="dxa"/>
            </w:tcMar>
            <w:vAlign w:val="center"/>
          </w:tcPr>
          <w:p>
            <w:pPr>
              <w:keepNext/>
              <w:keepLines/>
              <w:spacing w:after="0" w:line="240" w:lineRule="auto"/>
              <w:jc w:val="right"/>
            </w:pPr>
            <w:r>
              <w:rPr>
                <w:sz w:val="18"/>
              </w:rPr>
              <w:t>129.279,35</w:t>
            </w:r>
          </w:p>
        </w:tc>
        <w:tc>
          <w:tcPr>
            <w:tcW w:w="700" w:type="dxa"/>
            <w:tcMar>
              <w:top w:w="0" w:type="dxa"/>
              <w:bottom w:w="0" w:type="dxa"/>
            </w:tcMar>
            <w:vAlign w:val="center"/>
          </w:tcPr>
          <w:p>
            <w:pPr>
              <w:keepNext/>
              <w:keepLines/>
              <w:spacing w:after="0" w:line="240" w:lineRule="auto"/>
              <w:jc w:val="right"/>
            </w:pPr>
            <w:r>
              <w:rPr>
                <w:sz w:val="18"/>
              </w:rPr>
              <w:t>&gt;&gt;100</w:t>
            </w:r>
          </w:p>
        </w:tc>
      </w:tr>
    </w:tbl>
    <w:p>
      <w:pPr>
        <w:spacing w:after="0"/>
      </w:pPr>
    </w:p>
    <w:p>
      <w:r>
        <w:t>Početak izgradnje Vatrogasnog doma</w:t>
      </w:r>
    </w:p>
    <w:p/>
    <w:p>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45</w:t>
            </w:r>
          </w:p>
        </w:tc>
        <w:tc>
          <w:tcPr>
            <w:tcW w:w="3180" w:type="dxa"/>
            <w:tcMar>
              <w:top w:w="0" w:type="dxa"/>
              <w:bottom w:w="0" w:type="dxa"/>
            </w:tcMar>
            <w:vAlign w:val="center"/>
          </w:tcPr>
          <w:p>
            <w:pPr>
              <w:keepNext/>
              <w:keepLines/>
              <w:spacing w:after="0" w:line="240" w:lineRule="auto"/>
            </w:pPr>
            <w:r>
              <w:rPr>
                <w:sz w:val="18"/>
              </w:rPr>
              <w:t>Rashodi za dodatna ulaganja na nefinancijskoj imovini (šifre 451 do 454)</w:t>
            </w:r>
          </w:p>
        </w:tc>
        <w:tc>
          <w:tcPr>
            <w:tcW w:w="700" w:type="dxa"/>
            <w:tcMar>
              <w:top w:w="0" w:type="dxa"/>
              <w:bottom w:w="0" w:type="dxa"/>
            </w:tcMar>
            <w:vAlign w:val="center"/>
          </w:tcPr>
          <w:p>
            <w:pPr>
              <w:keepNext/>
              <w:keepLines/>
              <w:spacing w:after="0" w:line="240" w:lineRule="auto"/>
            </w:pPr>
            <w:r>
              <w:rPr>
                <w:sz w:val="18"/>
              </w:rPr>
              <w:t>45</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12.250,00</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Radi se o rashodima za obnovu postojećih tribina koje je bilo potrebno obnoviti</w:t>
      </w:r>
    </w:p>
    <w:p/>
    <w:p>
      <w:pPr>
        <w:keepNext/>
        <w:spacing w:line="240" w:lineRule="auto"/>
        <w:jc w:val="center"/>
      </w:pPr>
      <w:r>
        <w:rPr>
          <w:b/>
          <w:sz w:val="28"/>
        </w:rPr>
        <w:t>Bilanca</w:t>
      </w:r>
    </w:p>
    <w:p>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0</w:t>
            </w:r>
          </w:p>
        </w:tc>
        <w:tc>
          <w:tcPr>
            <w:tcW w:w="3180" w:type="dxa"/>
            <w:tcMar>
              <w:top w:w="0" w:type="dxa"/>
              <w:bottom w:w="0" w:type="dxa"/>
            </w:tcMar>
            <w:vAlign w:val="center"/>
          </w:tcPr>
          <w:p>
            <w:pPr>
              <w:keepNext/>
              <w:keepLines/>
              <w:spacing w:after="0" w:line="240" w:lineRule="auto"/>
            </w:pPr>
            <w:r>
              <w:rPr>
                <w:sz w:val="18"/>
              </w:rPr>
              <w:t>Nefinancijska imovina (šifre 01+02+03+04+05+06)</w:t>
            </w:r>
          </w:p>
        </w:tc>
        <w:tc>
          <w:tcPr>
            <w:tcW w:w="700" w:type="dxa"/>
            <w:tcMar>
              <w:top w:w="0" w:type="dxa"/>
              <w:bottom w:w="0" w:type="dxa"/>
            </w:tcMar>
            <w:vAlign w:val="center"/>
          </w:tcPr>
          <w:p>
            <w:pPr>
              <w:keepNext/>
              <w:keepLines/>
              <w:spacing w:after="0" w:line="240" w:lineRule="auto"/>
            </w:pPr>
            <w:r>
              <w:rPr>
                <w:sz w:val="18"/>
              </w:rPr>
              <w:t>B002</w:t>
            </w:r>
          </w:p>
        </w:tc>
        <w:tc>
          <w:tcPr>
            <w:tcW w:w="1860" w:type="dxa"/>
            <w:tcMar>
              <w:top w:w="0" w:type="dxa"/>
              <w:bottom w:w="0" w:type="dxa"/>
            </w:tcMar>
            <w:vAlign w:val="center"/>
          </w:tcPr>
          <w:p>
            <w:pPr>
              <w:keepNext/>
              <w:keepLines/>
              <w:spacing w:after="0" w:line="240" w:lineRule="auto"/>
              <w:jc w:val="right"/>
            </w:pPr>
            <w:r>
              <w:rPr>
                <w:sz w:val="18"/>
              </w:rPr>
              <w:t>3.181.064,56</w:t>
            </w:r>
          </w:p>
        </w:tc>
        <w:tc>
          <w:tcPr>
            <w:tcW w:w="1860" w:type="dxa"/>
            <w:tcMar>
              <w:top w:w="0" w:type="dxa"/>
              <w:bottom w:w="0" w:type="dxa"/>
            </w:tcMar>
            <w:vAlign w:val="center"/>
          </w:tcPr>
          <w:p>
            <w:pPr>
              <w:keepNext/>
              <w:keepLines/>
              <w:spacing w:after="0" w:line="240" w:lineRule="auto"/>
              <w:jc w:val="right"/>
            </w:pPr>
            <w:r>
              <w:rPr>
                <w:sz w:val="18"/>
              </w:rPr>
              <w:t>3.544.261,46</w:t>
            </w:r>
          </w:p>
        </w:tc>
        <w:tc>
          <w:tcPr>
            <w:tcW w:w="700" w:type="dxa"/>
            <w:tcMar>
              <w:top w:w="0" w:type="dxa"/>
              <w:bottom w:w="0" w:type="dxa"/>
            </w:tcMar>
            <w:vAlign w:val="center"/>
          </w:tcPr>
          <w:p>
            <w:pPr>
              <w:keepNext/>
              <w:keepLines/>
              <w:spacing w:after="0" w:line="240" w:lineRule="auto"/>
              <w:jc w:val="right"/>
            </w:pPr>
            <w:r>
              <w:rPr>
                <w:sz w:val="18"/>
              </w:rPr>
              <w:t>111,4</w:t>
            </w:r>
          </w:p>
        </w:tc>
      </w:tr>
    </w:tbl>
    <w:p>
      <w:pPr>
        <w:spacing w:after="0"/>
      </w:pPr>
    </w:p>
    <w:p>
      <w:r>
        <w:t>Bilježi se povećanje za 11,4% u odnosu na isto razdoblje prethodne godine. Povećanje se odnosi na ulaganja u izgradnju novih cesta, zamjena led rasvjetnih tijela.</w:t>
      </w:r>
    </w:p>
    <w:p/>
    <w:p>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1</w:t>
            </w:r>
          </w:p>
        </w:tc>
        <w:tc>
          <w:tcPr>
            <w:tcW w:w="3180" w:type="dxa"/>
            <w:tcMar>
              <w:top w:w="0" w:type="dxa"/>
              <w:bottom w:w="0" w:type="dxa"/>
            </w:tcMar>
            <w:vAlign w:val="center"/>
          </w:tcPr>
          <w:p>
            <w:pPr>
              <w:keepNext/>
              <w:keepLines/>
              <w:spacing w:after="0" w:line="240" w:lineRule="auto"/>
            </w:pPr>
            <w:r>
              <w:rPr>
                <w:sz w:val="18"/>
              </w:rPr>
              <w:t>Financijska imovina (šifre 11+12+13+14+15+16+17+19)</w:t>
            </w:r>
          </w:p>
        </w:tc>
        <w:tc>
          <w:tcPr>
            <w:tcW w:w="700" w:type="dxa"/>
            <w:tcMar>
              <w:top w:w="0" w:type="dxa"/>
              <w:bottom w:w="0" w:type="dxa"/>
            </w:tcMar>
            <w:vAlign w:val="center"/>
          </w:tcPr>
          <w:p>
            <w:pPr>
              <w:keepNext/>
              <w:keepLines/>
              <w:spacing w:after="0" w:line="240" w:lineRule="auto"/>
            </w:pPr>
            <w:r>
              <w:rPr>
                <w:sz w:val="18"/>
              </w:rPr>
              <w:t>1</w:t>
            </w:r>
          </w:p>
        </w:tc>
        <w:tc>
          <w:tcPr>
            <w:tcW w:w="1860" w:type="dxa"/>
            <w:tcMar>
              <w:top w:w="0" w:type="dxa"/>
              <w:bottom w:w="0" w:type="dxa"/>
            </w:tcMar>
            <w:vAlign w:val="center"/>
          </w:tcPr>
          <w:p>
            <w:pPr>
              <w:keepNext/>
              <w:keepLines/>
              <w:spacing w:after="0" w:line="240" w:lineRule="auto"/>
              <w:jc w:val="right"/>
            </w:pPr>
            <w:r>
              <w:rPr>
                <w:sz w:val="18"/>
              </w:rPr>
              <w:t>2.217.632,16</w:t>
            </w:r>
          </w:p>
        </w:tc>
        <w:tc>
          <w:tcPr>
            <w:tcW w:w="1860" w:type="dxa"/>
            <w:tcMar>
              <w:top w:w="0" w:type="dxa"/>
              <w:bottom w:w="0" w:type="dxa"/>
            </w:tcMar>
            <w:vAlign w:val="center"/>
          </w:tcPr>
          <w:p>
            <w:pPr>
              <w:keepNext/>
              <w:keepLines/>
              <w:spacing w:after="0" w:line="240" w:lineRule="auto"/>
              <w:jc w:val="right"/>
            </w:pPr>
            <w:r>
              <w:rPr>
                <w:sz w:val="18"/>
              </w:rPr>
              <w:t>2.875.780,31</w:t>
            </w:r>
          </w:p>
        </w:tc>
        <w:tc>
          <w:tcPr>
            <w:tcW w:w="700" w:type="dxa"/>
            <w:tcMar>
              <w:top w:w="0" w:type="dxa"/>
              <w:bottom w:w="0" w:type="dxa"/>
            </w:tcMar>
            <w:vAlign w:val="center"/>
          </w:tcPr>
          <w:p>
            <w:pPr>
              <w:keepNext/>
              <w:keepLines/>
              <w:spacing w:after="0" w:line="240" w:lineRule="auto"/>
              <w:jc w:val="right"/>
            </w:pPr>
            <w:r>
              <w:rPr>
                <w:sz w:val="18"/>
              </w:rPr>
              <w:t>129,7</w:t>
            </w:r>
          </w:p>
        </w:tc>
      </w:tr>
    </w:tbl>
    <w:p>
      <w:pPr>
        <w:spacing w:after="0"/>
      </w:pPr>
    </w:p>
    <w:p>
      <w:r>
        <w:t>Novac u banci i blagajni odnosi se na uplate poreza, komunalne naknade i doprinosa, novčanih pomoći od države i drugih proračuna.</w:t>
      </w:r>
    </w:p>
    <w:p/>
    <w:p>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11</w:t>
            </w:r>
          </w:p>
        </w:tc>
        <w:tc>
          <w:tcPr>
            <w:tcW w:w="3180" w:type="dxa"/>
            <w:tcMar>
              <w:top w:w="0" w:type="dxa"/>
              <w:bottom w:w="0" w:type="dxa"/>
            </w:tcMar>
            <w:vAlign w:val="center"/>
          </w:tcPr>
          <w:p>
            <w:pPr>
              <w:keepNext/>
              <w:keepLines/>
              <w:spacing w:after="0" w:line="240" w:lineRule="auto"/>
            </w:pPr>
            <w:r>
              <w:rPr>
                <w:sz w:val="18"/>
              </w:rPr>
              <w:t>Novac u banci i blagajni (šifre 111+112 do 114)</w:t>
            </w:r>
          </w:p>
        </w:tc>
        <w:tc>
          <w:tcPr>
            <w:tcW w:w="700" w:type="dxa"/>
            <w:tcMar>
              <w:top w:w="0" w:type="dxa"/>
              <w:bottom w:w="0" w:type="dxa"/>
            </w:tcMar>
            <w:vAlign w:val="center"/>
          </w:tcPr>
          <w:p>
            <w:pPr>
              <w:keepNext/>
              <w:keepLines/>
              <w:spacing w:after="0" w:line="240" w:lineRule="auto"/>
            </w:pPr>
            <w:r>
              <w:rPr>
                <w:sz w:val="18"/>
              </w:rPr>
              <w:t>11</w:t>
            </w:r>
          </w:p>
        </w:tc>
        <w:tc>
          <w:tcPr>
            <w:tcW w:w="1860" w:type="dxa"/>
            <w:tcMar>
              <w:top w:w="0" w:type="dxa"/>
              <w:bottom w:w="0" w:type="dxa"/>
            </w:tcMar>
            <w:vAlign w:val="center"/>
          </w:tcPr>
          <w:p>
            <w:pPr>
              <w:keepNext/>
              <w:keepLines/>
              <w:spacing w:after="0" w:line="240" w:lineRule="auto"/>
              <w:jc w:val="right"/>
            </w:pPr>
            <w:r>
              <w:rPr>
                <w:sz w:val="18"/>
              </w:rPr>
              <w:t>1.170.584,13</w:t>
            </w:r>
          </w:p>
        </w:tc>
        <w:tc>
          <w:tcPr>
            <w:tcW w:w="1860" w:type="dxa"/>
            <w:tcMar>
              <w:top w:w="0" w:type="dxa"/>
              <w:bottom w:w="0" w:type="dxa"/>
            </w:tcMar>
            <w:vAlign w:val="center"/>
          </w:tcPr>
          <w:p>
            <w:pPr>
              <w:keepNext/>
              <w:keepLines/>
              <w:spacing w:after="0" w:line="240" w:lineRule="auto"/>
              <w:jc w:val="right"/>
            </w:pPr>
            <w:r>
              <w:rPr>
                <w:sz w:val="18"/>
              </w:rPr>
              <w:t>1.757.461,47</w:t>
            </w:r>
          </w:p>
        </w:tc>
        <w:tc>
          <w:tcPr>
            <w:tcW w:w="700" w:type="dxa"/>
            <w:tcMar>
              <w:top w:w="0" w:type="dxa"/>
              <w:bottom w:w="0" w:type="dxa"/>
            </w:tcMar>
            <w:vAlign w:val="center"/>
          </w:tcPr>
          <w:p>
            <w:pPr>
              <w:keepNext/>
              <w:keepLines/>
              <w:spacing w:after="0" w:line="240" w:lineRule="auto"/>
              <w:jc w:val="right"/>
            </w:pPr>
            <w:r>
              <w:rPr>
                <w:sz w:val="18"/>
              </w:rPr>
              <w:t>150,1</w:t>
            </w:r>
          </w:p>
        </w:tc>
      </w:tr>
    </w:tbl>
    <w:p>
      <w:pPr>
        <w:spacing w:after="0"/>
      </w:pPr>
    </w:p>
    <w:p>
      <w:r>
        <w:t>Novac na računu se akumulira zbog planiranih izgradnji škole i vrtića</w:t>
      </w:r>
    </w:p>
    <w:p/>
    <w:p>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161</w:t>
            </w:r>
          </w:p>
        </w:tc>
        <w:tc>
          <w:tcPr>
            <w:tcW w:w="3180" w:type="dxa"/>
            <w:tcMar>
              <w:top w:w="0" w:type="dxa"/>
              <w:bottom w:w="0" w:type="dxa"/>
            </w:tcMar>
            <w:vAlign w:val="center"/>
          </w:tcPr>
          <w:p>
            <w:pPr>
              <w:keepNext/>
              <w:keepLines/>
              <w:spacing w:after="0" w:line="240" w:lineRule="auto"/>
            </w:pPr>
            <w:r>
              <w:rPr>
                <w:sz w:val="18"/>
              </w:rPr>
              <w:t>Potraživanja za poreze</w:t>
            </w:r>
          </w:p>
        </w:tc>
        <w:tc>
          <w:tcPr>
            <w:tcW w:w="700" w:type="dxa"/>
            <w:tcMar>
              <w:top w:w="0" w:type="dxa"/>
              <w:bottom w:w="0" w:type="dxa"/>
            </w:tcMar>
            <w:vAlign w:val="center"/>
          </w:tcPr>
          <w:p>
            <w:pPr>
              <w:keepNext/>
              <w:keepLines/>
              <w:spacing w:after="0" w:line="240" w:lineRule="auto"/>
            </w:pPr>
            <w:r>
              <w:rPr>
                <w:sz w:val="18"/>
              </w:rPr>
              <w:t>161</w:t>
            </w:r>
          </w:p>
        </w:tc>
        <w:tc>
          <w:tcPr>
            <w:tcW w:w="1860" w:type="dxa"/>
            <w:tcMar>
              <w:top w:w="0" w:type="dxa"/>
              <w:bottom w:w="0" w:type="dxa"/>
            </w:tcMar>
            <w:vAlign w:val="center"/>
          </w:tcPr>
          <w:p>
            <w:pPr>
              <w:keepNext/>
              <w:keepLines/>
              <w:spacing w:after="0" w:line="240" w:lineRule="auto"/>
              <w:jc w:val="right"/>
            </w:pPr>
            <w:r>
              <w:rPr>
                <w:sz w:val="18"/>
              </w:rPr>
              <w:t>105.215,29</w:t>
            </w:r>
          </w:p>
        </w:tc>
        <w:tc>
          <w:tcPr>
            <w:tcW w:w="1860" w:type="dxa"/>
            <w:tcMar>
              <w:top w:w="0" w:type="dxa"/>
              <w:bottom w:w="0" w:type="dxa"/>
            </w:tcMar>
            <w:vAlign w:val="center"/>
          </w:tcPr>
          <w:p>
            <w:pPr>
              <w:keepNext/>
              <w:keepLines/>
              <w:spacing w:after="0" w:line="240" w:lineRule="auto"/>
              <w:jc w:val="right"/>
            </w:pPr>
            <w:r>
              <w:rPr>
                <w:sz w:val="18"/>
              </w:rPr>
              <w:t>174.588,01</w:t>
            </w:r>
          </w:p>
        </w:tc>
        <w:tc>
          <w:tcPr>
            <w:tcW w:w="700" w:type="dxa"/>
            <w:tcMar>
              <w:top w:w="0" w:type="dxa"/>
              <w:bottom w:w="0" w:type="dxa"/>
            </w:tcMar>
            <w:vAlign w:val="center"/>
          </w:tcPr>
          <w:p>
            <w:pPr>
              <w:keepNext/>
              <w:keepLines/>
              <w:spacing w:after="0" w:line="240" w:lineRule="auto"/>
              <w:jc w:val="right"/>
            </w:pPr>
            <w:r>
              <w:rPr>
                <w:sz w:val="18"/>
              </w:rPr>
              <w:t>165,9</w:t>
            </w:r>
          </w:p>
        </w:tc>
      </w:tr>
    </w:tbl>
    <w:p>
      <w:pPr>
        <w:spacing w:after="0"/>
      </w:pPr>
    </w:p>
    <w:p>
      <w:r>
        <w:t>Potraživanja za poreze za Općinu obavlja Porezna uprava</w:t>
      </w:r>
    </w:p>
    <w:p/>
    <w:p>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2</w:t>
            </w:r>
          </w:p>
        </w:tc>
        <w:tc>
          <w:tcPr>
            <w:tcW w:w="3180" w:type="dxa"/>
            <w:tcMar>
              <w:top w:w="0" w:type="dxa"/>
              <w:bottom w:w="0" w:type="dxa"/>
            </w:tcMar>
            <w:vAlign w:val="center"/>
          </w:tcPr>
          <w:p>
            <w:pPr>
              <w:keepNext/>
              <w:keepLines/>
              <w:spacing w:after="0" w:line="240" w:lineRule="auto"/>
            </w:pPr>
            <w:r>
              <w:rPr>
                <w:sz w:val="18"/>
              </w:rPr>
              <w:t>Obveze (šifre 23+24+25+26+27+29)</w:t>
            </w:r>
          </w:p>
        </w:tc>
        <w:tc>
          <w:tcPr>
            <w:tcW w:w="700" w:type="dxa"/>
            <w:tcMar>
              <w:top w:w="0" w:type="dxa"/>
              <w:bottom w:w="0" w:type="dxa"/>
            </w:tcMar>
            <w:vAlign w:val="center"/>
          </w:tcPr>
          <w:p>
            <w:pPr>
              <w:keepNext/>
              <w:keepLines/>
              <w:spacing w:after="0" w:line="240" w:lineRule="auto"/>
            </w:pPr>
            <w:r>
              <w:rPr>
                <w:sz w:val="18"/>
              </w:rPr>
              <w:t>2</w:t>
            </w:r>
          </w:p>
        </w:tc>
        <w:tc>
          <w:tcPr>
            <w:tcW w:w="1860" w:type="dxa"/>
            <w:tcMar>
              <w:top w:w="0" w:type="dxa"/>
              <w:bottom w:w="0" w:type="dxa"/>
            </w:tcMar>
            <w:vAlign w:val="center"/>
          </w:tcPr>
          <w:p>
            <w:pPr>
              <w:keepNext/>
              <w:keepLines/>
              <w:spacing w:after="0" w:line="240" w:lineRule="auto"/>
              <w:jc w:val="right"/>
            </w:pPr>
            <w:r>
              <w:rPr>
                <w:sz w:val="18"/>
              </w:rPr>
              <w:t>424.805,17</w:t>
            </w:r>
          </w:p>
        </w:tc>
        <w:tc>
          <w:tcPr>
            <w:tcW w:w="1860" w:type="dxa"/>
            <w:tcMar>
              <w:top w:w="0" w:type="dxa"/>
              <w:bottom w:w="0" w:type="dxa"/>
            </w:tcMar>
            <w:vAlign w:val="center"/>
          </w:tcPr>
          <w:p>
            <w:pPr>
              <w:keepNext/>
              <w:keepLines/>
              <w:spacing w:after="0" w:line="240" w:lineRule="auto"/>
              <w:jc w:val="right"/>
            </w:pPr>
            <w:r>
              <w:rPr>
                <w:sz w:val="18"/>
              </w:rPr>
              <w:t>414.252,75</w:t>
            </w:r>
          </w:p>
        </w:tc>
        <w:tc>
          <w:tcPr>
            <w:tcW w:w="700" w:type="dxa"/>
            <w:tcMar>
              <w:top w:w="0" w:type="dxa"/>
              <w:bottom w:w="0" w:type="dxa"/>
            </w:tcMar>
            <w:vAlign w:val="center"/>
          </w:tcPr>
          <w:p>
            <w:pPr>
              <w:keepNext/>
              <w:keepLines/>
              <w:spacing w:after="0" w:line="240" w:lineRule="auto"/>
              <w:jc w:val="right"/>
            </w:pPr>
            <w:r>
              <w:rPr>
                <w:sz w:val="18"/>
              </w:rPr>
              <w:t>97,5</w:t>
            </w:r>
          </w:p>
        </w:tc>
      </w:tr>
    </w:tbl>
    <w:p>
      <w:pPr>
        <w:spacing w:after="0"/>
      </w:pPr>
    </w:p>
    <w:p>
      <w:r>
        <w:t>Obveze ostvarene u 2025. godini iznose 414.252,75 € što veći dio tih obveza se odnosi na kredit u Erste banki</w:t>
      </w:r>
    </w:p>
    <w:p/>
    <w:p>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237</w:t>
            </w:r>
          </w:p>
        </w:tc>
        <w:tc>
          <w:tcPr>
            <w:tcW w:w="3180" w:type="dxa"/>
            <w:tcMar>
              <w:top w:w="0" w:type="dxa"/>
              <w:bottom w:w="0" w:type="dxa"/>
            </w:tcMar>
            <w:vAlign w:val="center"/>
          </w:tcPr>
          <w:p>
            <w:pPr>
              <w:keepNext/>
              <w:keepLines/>
              <w:spacing w:after="0" w:line="240" w:lineRule="auto"/>
            </w:pPr>
            <w:r>
              <w:rPr>
                <w:sz w:val="18"/>
              </w:rPr>
              <w:t>Obveze za naknade građanima i kućanstvima</w:t>
            </w:r>
          </w:p>
        </w:tc>
        <w:tc>
          <w:tcPr>
            <w:tcW w:w="700" w:type="dxa"/>
            <w:tcMar>
              <w:top w:w="0" w:type="dxa"/>
              <w:bottom w:w="0" w:type="dxa"/>
            </w:tcMar>
            <w:vAlign w:val="center"/>
          </w:tcPr>
          <w:p>
            <w:pPr>
              <w:keepNext/>
              <w:keepLines/>
              <w:spacing w:after="0" w:line="240" w:lineRule="auto"/>
            </w:pPr>
            <w:r>
              <w:rPr>
                <w:sz w:val="18"/>
              </w:rPr>
              <w:t>237</w:t>
            </w:r>
          </w:p>
        </w:tc>
        <w:tc>
          <w:tcPr>
            <w:tcW w:w="1860" w:type="dxa"/>
            <w:tcMar>
              <w:top w:w="0" w:type="dxa"/>
              <w:bottom w:w="0" w:type="dxa"/>
            </w:tcMar>
            <w:vAlign w:val="center"/>
          </w:tcPr>
          <w:p>
            <w:pPr>
              <w:keepNext/>
              <w:keepLines/>
              <w:spacing w:after="0" w:line="240" w:lineRule="auto"/>
              <w:jc w:val="right"/>
            </w:pPr>
            <w:r>
              <w:rPr>
                <w:sz w:val="18"/>
              </w:rPr>
              <w:t>5.476,69</w:t>
            </w:r>
          </w:p>
        </w:tc>
        <w:tc>
          <w:tcPr>
            <w:tcW w:w="1860" w:type="dxa"/>
            <w:tcMar>
              <w:top w:w="0" w:type="dxa"/>
              <w:bottom w:w="0" w:type="dxa"/>
            </w:tcMar>
            <w:vAlign w:val="center"/>
          </w:tcPr>
          <w:p>
            <w:pPr>
              <w:keepNext/>
              <w:keepLines/>
              <w:spacing w:after="0" w:line="240" w:lineRule="auto"/>
              <w:jc w:val="right"/>
            </w:pPr>
            <w:r>
              <w:rPr>
                <w:sz w:val="18"/>
              </w:rPr>
              <w:t>47.100,00</w:t>
            </w:r>
          </w:p>
        </w:tc>
        <w:tc>
          <w:tcPr>
            <w:tcW w:w="700" w:type="dxa"/>
            <w:tcMar>
              <w:top w:w="0" w:type="dxa"/>
              <w:bottom w:w="0" w:type="dxa"/>
            </w:tcMar>
            <w:vAlign w:val="center"/>
          </w:tcPr>
          <w:p>
            <w:pPr>
              <w:keepNext/>
              <w:keepLines/>
              <w:spacing w:after="0" w:line="240" w:lineRule="auto"/>
              <w:jc w:val="right"/>
            </w:pPr>
            <w:r>
              <w:rPr>
                <w:sz w:val="18"/>
              </w:rPr>
              <w:t>860,0</w:t>
            </w:r>
          </w:p>
        </w:tc>
      </w:tr>
    </w:tbl>
    <w:p>
      <w:pPr>
        <w:spacing w:after="0"/>
      </w:pPr>
    </w:p>
    <w:p>
      <w:r>
        <w:t>Radi se o računima za dječje vrtiće koji su poslani kroz 2026. godinu a odnose se na rashode 2025. godine</w:t>
      </w:r>
    </w:p>
    <w:p/>
    <w:p>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99641</w:t>
            </w:r>
          </w:p>
        </w:tc>
        <w:tc>
          <w:tcPr>
            <w:tcW w:w="3180" w:type="dxa"/>
            <w:tcMar>
              <w:top w:w="0" w:type="dxa"/>
              <w:bottom w:w="0" w:type="dxa"/>
            </w:tcMar>
            <w:vAlign w:val="center"/>
          </w:tcPr>
          <w:p>
            <w:pPr>
              <w:keepNext/>
              <w:keepLines/>
              <w:spacing w:after="0" w:line="240" w:lineRule="auto"/>
            </w:pPr>
            <w:r>
              <w:rPr>
                <w:sz w:val="18"/>
              </w:rPr>
              <w:t>Instrumenti osiguranja plaćanja</w:t>
            </w:r>
          </w:p>
        </w:tc>
        <w:tc>
          <w:tcPr>
            <w:tcW w:w="700" w:type="dxa"/>
            <w:tcMar>
              <w:top w:w="0" w:type="dxa"/>
              <w:bottom w:w="0" w:type="dxa"/>
            </w:tcMar>
            <w:vAlign w:val="center"/>
          </w:tcPr>
          <w:p>
            <w:pPr>
              <w:keepNext/>
              <w:keepLines/>
              <w:spacing w:after="0" w:line="240" w:lineRule="auto"/>
            </w:pPr>
            <w:r>
              <w:rPr>
                <w:sz w:val="18"/>
              </w:rPr>
              <w:t>99641</w:t>
            </w:r>
          </w:p>
        </w:tc>
        <w:tc>
          <w:tcPr>
            <w:tcW w:w="1860" w:type="dxa"/>
            <w:tcMar>
              <w:top w:w="0" w:type="dxa"/>
              <w:bottom w:w="0" w:type="dxa"/>
            </w:tcMar>
            <w:vAlign w:val="center"/>
          </w:tcPr>
          <w:p>
            <w:pPr>
              <w:keepNext/>
              <w:keepLines/>
              <w:spacing w:after="0" w:line="240" w:lineRule="auto"/>
              <w:jc w:val="right"/>
            </w:pPr>
            <w:r>
              <w:rPr>
                <w:sz w:val="18"/>
              </w:rPr>
              <w:t>28.225,44</w:t>
            </w:r>
          </w:p>
        </w:tc>
        <w:tc>
          <w:tcPr>
            <w:tcW w:w="1860" w:type="dxa"/>
            <w:tcMar>
              <w:top w:w="0" w:type="dxa"/>
              <w:bottom w:w="0" w:type="dxa"/>
            </w:tcMar>
            <w:vAlign w:val="center"/>
          </w:tcPr>
          <w:p>
            <w:pPr>
              <w:keepNext/>
              <w:keepLines/>
              <w:spacing w:after="0" w:line="240" w:lineRule="auto"/>
              <w:jc w:val="right"/>
            </w:pPr>
            <w:r>
              <w:rPr>
                <w:sz w:val="18"/>
              </w:rPr>
              <w:t>662.929,08</w:t>
            </w:r>
          </w:p>
        </w:tc>
        <w:tc>
          <w:tcPr>
            <w:tcW w:w="700" w:type="dxa"/>
            <w:tcMar>
              <w:top w:w="0" w:type="dxa"/>
              <w:bottom w:w="0" w:type="dxa"/>
            </w:tcMar>
            <w:vAlign w:val="center"/>
          </w:tcPr>
          <w:p>
            <w:pPr>
              <w:keepNext/>
              <w:keepLines/>
              <w:spacing w:after="0" w:line="240" w:lineRule="auto"/>
              <w:jc w:val="right"/>
            </w:pPr>
            <w:r>
              <w:rPr>
                <w:sz w:val="18"/>
              </w:rPr>
              <w:t>2348,7</w:t>
            </w:r>
          </w:p>
        </w:tc>
      </w:tr>
    </w:tbl>
    <w:p>
      <w:pPr>
        <w:spacing w:after="0"/>
      </w:pPr>
    </w:p>
    <w:p>
      <w:r>
        <w:t>Radi se o knjiženju zadužnice Erste banke kod dizanja kredita, a koja se nije knjižila.</w:t>
      </w:r>
    </w:p>
    <w:p/>
    <w:p>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99653</w:t>
            </w:r>
          </w:p>
        </w:tc>
        <w:tc>
          <w:tcPr>
            <w:tcW w:w="3180" w:type="dxa"/>
            <w:tcMar>
              <w:top w:w="0" w:type="dxa"/>
              <w:bottom w:w="0" w:type="dxa"/>
            </w:tcMar>
            <w:vAlign w:val="center"/>
          </w:tcPr>
          <w:p>
            <w:pPr>
              <w:keepNext/>
              <w:keepLines/>
              <w:spacing w:after="0" w:line="240" w:lineRule="auto"/>
            </w:pPr>
            <w:r>
              <w:rPr>
                <w:sz w:val="18"/>
              </w:rPr>
              <w:t>Preuzete obveze po ugovorima o dodjeli bespovratnih sredstava iz EU fondova</w:t>
            </w:r>
          </w:p>
        </w:tc>
        <w:tc>
          <w:tcPr>
            <w:tcW w:w="700" w:type="dxa"/>
            <w:tcMar>
              <w:top w:w="0" w:type="dxa"/>
              <w:bottom w:w="0" w:type="dxa"/>
            </w:tcMar>
            <w:vAlign w:val="center"/>
          </w:tcPr>
          <w:p>
            <w:pPr>
              <w:keepNext/>
              <w:keepLines/>
              <w:spacing w:after="0" w:line="240" w:lineRule="auto"/>
            </w:pPr>
            <w:r>
              <w:rPr>
                <w:sz w:val="18"/>
              </w:rPr>
              <w:t>99653</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793.365,75</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Radi se o ugovorima sa Ministarstarstvom reginalnog razvoja.</w:t>
      </w:r>
    </w:p>
    <w:p/>
    <w:p>
      <w:pPr>
        <w:keepNext/>
        <w:spacing w:line="240" w:lineRule="auto"/>
        <w:jc w:val="center"/>
      </w:pPr>
      <w:r>
        <w:rPr>
          <w:b/>
          <w:sz w:val="28"/>
        </w:rPr>
        <w:t>Izvještaj o rashodima prema funkcijskoj klasifikaciji</w:t>
      </w:r>
    </w:p>
    <w:p>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01</w:t>
            </w:r>
          </w:p>
        </w:tc>
        <w:tc>
          <w:tcPr>
            <w:tcW w:w="3180" w:type="dxa"/>
            <w:tcMar>
              <w:top w:w="0" w:type="dxa"/>
              <w:bottom w:w="0" w:type="dxa"/>
            </w:tcMar>
            <w:vAlign w:val="center"/>
          </w:tcPr>
          <w:p>
            <w:pPr>
              <w:keepNext/>
              <w:keepLines/>
              <w:spacing w:after="0" w:line="240" w:lineRule="auto"/>
            </w:pPr>
            <w:r>
              <w:rPr>
                <w:sz w:val="18"/>
              </w:rPr>
              <w:t>Opće javne usluge (šifre 011+012+013+014 do 018)</w:t>
            </w:r>
          </w:p>
        </w:tc>
        <w:tc>
          <w:tcPr>
            <w:tcW w:w="700" w:type="dxa"/>
            <w:tcMar>
              <w:top w:w="0" w:type="dxa"/>
              <w:bottom w:w="0" w:type="dxa"/>
            </w:tcMar>
            <w:vAlign w:val="center"/>
          </w:tcPr>
          <w:p>
            <w:pPr>
              <w:keepNext/>
              <w:keepLines/>
              <w:spacing w:after="0" w:line="240" w:lineRule="auto"/>
            </w:pPr>
            <w:r>
              <w:rPr>
                <w:sz w:val="18"/>
              </w:rPr>
              <w:t>01</w:t>
            </w:r>
          </w:p>
        </w:tc>
        <w:tc>
          <w:tcPr>
            <w:tcW w:w="1860" w:type="dxa"/>
            <w:tcMar>
              <w:top w:w="0" w:type="dxa"/>
              <w:bottom w:w="0" w:type="dxa"/>
            </w:tcMar>
            <w:vAlign w:val="center"/>
          </w:tcPr>
          <w:p>
            <w:pPr>
              <w:keepNext/>
              <w:keepLines/>
              <w:spacing w:after="0" w:line="240" w:lineRule="auto"/>
              <w:jc w:val="right"/>
            </w:pPr>
            <w:r>
              <w:rPr>
                <w:sz w:val="18"/>
              </w:rPr>
              <w:t>387.542,34</w:t>
            </w:r>
          </w:p>
        </w:tc>
        <w:tc>
          <w:tcPr>
            <w:tcW w:w="1860" w:type="dxa"/>
            <w:tcMar>
              <w:top w:w="0" w:type="dxa"/>
              <w:bottom w:w="0" w:type="dxa"/>
            </w:tcMar>
            <w:vAlign w:val="center"/>
          </w:tcPr>
          <w:p>
            <w:pPr>
              <w:keepNext/>
              <w:keepLines/>
              <w:spacing w:after="0" w:line="240" w:lineRule="auto"/>
              <w:jc w:val="right"/>
            </w:pPr>
            <w:r>
              <w:rPr>
                <w:sz w:val="18"/>
              </w:rPr>
              <w:t>527.673,97</w:t>
            </w:r>
          </w:p>
        </w:tc>
        <w:tc>
          <w:tcPr>
            <w:tcW w:w="700" w:type="dxa"/>
            <w:tcMar>
              <w:top w:w="0" w:type="dxa"/>
              <w:bottom w:w="0" w:type="dxa"/>
            </w:tcMar>
            <w:vAlign w:val="center"/>
          </w:tcPr>
          <w:p>
            <w:pPr>
              <w:keepNext/>
              <w:keepLines/>
              <w:spacing w:after="0" w:line="240" w:lineRule="auto"/>
              <w:jc w:val="right"/>
            </w:pPr>
            <w:r>
              <w:rPr>
                <w:sz w:val="18"/>
              </w:rPr>
              <w:t>136,2</w:t>
            </w:r>
          </w:p>
        </w:tc>
      </w:tr>
    </w:tbl>
    <w:p>
      <w:pPr>
        <w:spacing w:after="0"/>
      </w:pPr>
    </w:p>
    <w:p>
      <w:r>
        <w:t>U obrascu su iskazani rashodi 3 i 4 prema funkcijama, ti iznosi odgovaraju iznosima navedenih u PR-RAS.</w:t>
      </w:r>
    </w:p>
    <w:p/>
    <w:p>
      <w:pPr>
        <w:keepNext/>
        <w:spacing w:line="240" w:lineRule="auto"/>
        <w:jc w:val="center"/>
      </w:pPr>
      <w:r>
        <w:rPr>
          <w:b/>
          <w:sz w:val="28"/>
        </w:rPr>
        <w:t>Promjene u vrijednosti i obujmu imovine i obveza</w:t>
      </w:r>
    </w:p>
    <w:p>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sz w:val="18"/>
              </w:rPr>
              <w:t>Promjene u obujmu financijske imovine (šifre P024 do P030)</w:t>
            </w:r>
          </w:p>
        </w:tc>
        <w:tc>
          <w:tcPr>
            <w:tcW w:w="700" w:type="dxa"/>
            <w:tcMar>
              <w:top w:w="0" w:type="dxa"/>
              <w:bottom w:w="0" w:type="dxa"/>
            </w:tcMar>
            <w:vAlign w:val="center"/>
          </w:tcPr>
          <w:p>
            <w:pPr>
              <w:keepNext/>
              <w:keepLines/>
              <w:spacing w:after="0" w:line="240" w:lineRule="auto"/>
            </w:pPr>
            <w:r>
              <w:rPr>
                <w:sz w:val="18"/>
              </w:rPr>
              <w:t>P023</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249.142,19</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Radi se o isknjižavanju nenaplativih potraživanja, koje je donijelo Općinsko vijeće na 5. sjednici održanoj 22.12.2025. godine</w:t>
      </w:r>
    </w:p>
    <w:p/>
    <w:p>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r>
              <w:rPr>
                <w:sz w:val="18"/>
              </w:rPr>
              <w:t>91521</w:t>
            </w:r>
          </w:p>
        </w:tc>
        <w:tc>
          <w:tcPr>
            <w:tcW w:w="3180" w:type="dxa"/>
            <w:tcMar>
              <w:top w:w="0" w:type="dxa"/>
              <w:bottom w:w="0" w:type="dxa"/>
            </w:tcMar>
            <w:vAlign w:val="center"/>
          </w:tcPr>
          <w:p>
            <w:pPr>
              <w:keepNext/>
              <w:keepLines/>
              <w:spacing w:after="0" w:line="240" w:lineRule="auto"/>
            </w:pPr>
            <w:r>
              <w:rPr>
                <w:sz w:val="18"/>
              </w:rPr>
              <w:t>Promjene u vrijednosti obveza (šifre P031 do P034)</w:t>
            </w:r>
          </w:p>
        </w:tc>
        <w:tc>
          <w:tcPr>
            <w:tcW w:w="700" w:type="dxa"/>
            <w:tcMar>
              <w:top w:w="0" w:type="dxa"/>
              <w:bottom w:w="0" w:type="dxa"/>
            </w:tcMar>
            <w:vAlign w:val="center"/>
          </w:tcPr>
          <w:p>
            <w:pPr>
              <w:keepNext/>
              <w:keepLines/>
              <w:spacing w:after="0" w:line="240" w:lineRule="auto"/>
            </w:pPr>
            <w:r>
              <w:rPr>
                <w:sz w:val="18"/>
              </w:rPr>
              <w:t>91521</w:t>
            </w:r>
          </w:p>
        </w:tc>
        <w:tc>
          <w:tcPr>
            <w:tcW w:w="1860" w:type="dxa"/>
            <w:tcMar>
              <w:top w:w="0" w:type="dxa"/>
              <w:bottom w:w="0" w:type="dxa"/>
            </w:tcMar>
            <w:vAlign w:val="center"/>
          </w:tcPr>
          <w:p>
            <w:pPr>
              <w:keepNext/>
              <w:keepLines/>
              <w:spacing w:after="0" w:line="240" w:lineRule="auto"/>
              <w:jc w:val="right"/>
            </w:pPr>
            <w:r>
              <w:rPr>
                <w:sz w:val="18"/>
              </w:rPr>
              <w:t>0,00</w:t>
            </w:r>
          </w:p>
        </w:tc>
        <w:tc>
          <w:tcPr>
            <w:tcW w:w="1860" w:type="dxa"/>
            <w:tcMar>
              <w:top w:w="0" w:type="dxa"/>
              <w:bottom w:w="0" w:type="dxa"/>
            </w:tcMar>
            <w:vAlign w:val="center"/>
          </w:tcPr>
          <w:p>
            <w:pPr>
              <w:keepNext/>
              <w:keepLines/>
              <w:spacing w:after="0" w:line="240" w:lineRule="auto"/>
              <w:jc w:val="right"/>
            </w:pPr>
            <w:r>
              <w:rPr>
                <w:sz w:val="18"/>
              </w:rPr>
              <w:t>356,76</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Radi se o otpisu obveze firme koja je brisana iz sudskog registra.</w:t>
      </w:r>
    </w:p>
    <w:p/>
    <w:p>
      <w:pPr>
        <w:keepNext/>
        <w:spacing w:line="240" w:lineRule="auto"/>
        <w:jc w:val="center"/>
      </w:pPr>
      <w:r>
        <w:rPr>
          <w:b/>
          <w:sz w:val="28"/>
        </w:rPr>
        <w:t>Izvještaj o obvezama</w:t>
      </w:r>
    </w:p>
    <w:p>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trPr>
          <w:cantSplit/>
        </w:trPr>
        <w:tc>
          <w:tcPr>
            <w:tcW w:w="700" w:type="dxa"/>
            <w:shd w:val="clear" w:color="auto" w:fill="E7F0F9"/>
            <w:tcMar>
              <w:top w:w="0" w:type="dxa"/>
              <w:bottom w:w="0" w:type="dxa"/>
            </w:tcMar>
            <w:vAlign w:val="center"/>
          </w:tcPr>
          <w:p>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pPr>
              <w:keepNext/>
              <w:keepLines/>
              <w:spacing w:after="0" w:line="240" w:lineRule="auto"/>
              <w:jc w:val="center"/>
            </w:pPr>
            <w:r>
              <w:rPr>
                <w:b/>
                <w:sz w:val="18"/>
              </w:rPr>
              <w:t>Indeks (%)</w:t>
            </w:r>
          </w:p>
        </w:tc>
      </w:tr>
      <w:tr>
        <w:trPr>
          <w:cantSplit/>
          <w:trHeight w:val="560"/>
        </w:trPr>
        <w:tc>
          <w:tcPr>
            <w:tcW w:w="700" w:type="dxa"/>
            <w:tcMar>
              <w:top w:w="0" w:type="dxa"/>
              <w:bottom w:w="0" w:type="dxa"/>
            </w:tcMar>
            <w:vAlign w:val="center"/>
          </w:tcPr>
          <w:p>
            <w:pPr>
              <w:keepNext/>
              <w:keepLines/>
              <w:spacing w:after="0" w:line="240" w:lineRule="auto"/>
            </w:pPr>
          </w:p>
        </w:tc>
        <w:tc>
          <w:tcPr>
            <w:tcW w:w="3180" w:type="dxa"/>
            <w:tcMar>
              <w:top w:w="0" w:type="dxa"/>
              <w:bottom w:w="0" w:type="dxa"/>
            </w:tcMar>
            <w:vAlign w:val="center"/>
          </w:tcPr>
          <w:p>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pPr>
              <w:keepNext/>
              <w:keepLines/>
              <w:spacing w:after="0" w:line="240" w:lineRule="auto"/>
            </w:pPr>
            <w:r>
              <w:rPr>
                <w:sz w:val="18"/>
              </w:rPr>
              <w:t>V007</w:t>
            </w:r>
          </w:p>
        </w:tc>
        <w:tc>
          <w:tcPr>
            <w:tcW w:w="1860" w:type="dxa"/>
            <w:tcMar>
              <w:top w:w="0" w:type="dxa"/>
              <w:bottom w:w="0" w:type="dxa"/>
            </w:tcMar>
            <w:vAlign w:val="center"/>
          </w:tcPr>
          <w:p>
            <w:pPr>
              <w:keepNext/>
              <w:keepLines/>
              <w:spacing w:after="0" w:line="240" w:lineRule="auto"/>
              <w:jc w:val="right"/>
            </w:pPr>
            <w:r>
              <w:rPr>
                <w:sz w:val="18"/>
              </w:rPr>
              <w:t>49.073,59</w:t>
            </w:r>
          </w:p>
        </w:tc>
        <w:tc>
          <w:tcPr>
            <w:tcW w:w="700" w:type="dxa"/>
            <w:tcMar>
              <w:top w:w="0" w:type="dxa"/>
              <w:bottom w:w="0" w:type="dxa"/>
            </w:tcMar>
            <w:vAlign w:val="center"/>
          </w:tcPr>
          <w:p>
            <w:pPr>
              <w:keepNext/>
              <w:keepLines/>
              <w:spacing w:after="0" w:line="240" w:lineRule="auto"/>
              <w:jc w:val="right"/>
            </w:pPr>
            <w:r>
              <w:rPr>
                <w:sz w:val="18"/>
              </w:rPr>
              <w:t>-</w:t>
            </w:r>
          </w:p>
        </w:tc>
      </w:tr>
    </w:tbl>
    <w:p>
      <w:pPr>
        <w:spacing w:after="0"/>
      </w:pPr>
    </w:p>
    <w:p>
      <w:r>
        <w:t>Dospjele obveze u iznosu od 49.073,59 € radi se o računima kojima je dospijeće bilo u 2025. godini, a zaprimljeni su u 2026. godini.</w:t>
      </w:r>
    </w:p>
    <w:p/>
    <w:p>
      <w:pPr>
        <w:keepNext/>
        <w:spacing w:line="240" w:lineRule="auto"/>
        <w:jc w:val="center"/>
      </w:pPr>
      <w:r>
        <w:rPr>
          <w:sz w:val="28"/>
        </w:rPr>
        <w:t>Bilješka 38.</w:t>
      </w:r>
    </w:p>
    <w:p>
      <w:pPr>
        <w:spacing w:line="240" w:lineRule="auto"/>
        <w:jc w:val="both"/>
      </w:pPr>
      <w:r>
        <w:rPr>
          <w:b/>
        </w:rPr>
        <w:t>EU izvještaj</w:t>
      </w:r>
    </w:p>
    <w:p>
      <w:r>
        <w:t>U 2025. godini počela je izgradnja Vatrogasnog doma, sa Ministarstvom regionalnog razvoja potpisan je ugovor za IP.3.1.04.0001, te su u 2025. godini tražene isplate po ZNS-u, za koje je isplaćen iznos od 8.312,50 €, na temelju predanih računa. Iznos potpore je 85%.</w:t>
      </w:r>
    </w:p>
    <w:p/>
    <w:p>
      <w:r>
        <w:tab/>
      </w:r>
      <w:r>
        <w:tab/>
      </w:r>
      <w:r>
        <w:tab/>
      </w:r>
      <w:r>
        <w:tab/>
      </w:r>
      <w:r>
        <w:tab/>
      </w:r>
      <w:r>
        <w:tab/>
      </w:r>
      <w:r>
        <w:tab/>
      </w:r>
      <w:r>
        <w:tab/>
      </w:r>
      <w:r>
        <w:tab/>
      </w:r>
      <w:r>
        <w:tab/>
        <w:t>NAČELNIK</w:t>
      </w:r>
    </w:p>
    <w:p>
      <w:r>
        <w:tab/>
      </w:r>
      <w:r>
        <w:tab/>
      </w:r>
      <w:r>
        <w:tab/>
      </w:r>
      <w:r>
        <w:tab/>
      </w:r>
      <w:r>
        <w:tab/>
      </w:r>
      <w:r>
        <w:tab/>
      </w:r>
      <w:r>
        <w:tab/>
      </w:r>
      <w:r>
        <w:tab/>
      </w:r>
      <w:r>
        <w:tab/>
        <w:t>Ive Ćaleta-Car, bacc.ing.el.</w:t>
      </w: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D666ED-D62F-42EB-A64F-158D84FB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nhideWhenUsed/>
    <w:rPr>
      <w:color w:val="0000FF"/>
      <w:u w:val="single"/>
    </w:r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www.inet.hr/~ureddrza/Grb-rh%20mali.gif" TargetMode="External"/><Relationship Id="rId5" Type="http://schemas.openxmlformats.org/officeDocument/2006/relationships/image" Target="media/image1.gif"/><Relationship Id="rId4" Type="http://schemas.openxmlformats.org/officeDocument/2006/relationships/hyperlink" Target="http://www.inet.hr/~ureddrza/Grb-rh%20mali.gi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2272</Words>
  <Characters>12953</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Microsoftov račun</cp:lastModifiedBy>
  <cp:revision>3</cp:revision>
  <cp:lastPrinted>2026-02-17T08:06:00Z</cp:lastPrinted>
  <dcterms:created xsi:type="dcterms:W3CDTF">2026-02-12T13:03:00Z</dcterms:created>
  <dcterms:modified xsi:type="dcterms:W3CDTF">2026-02-17T08:07:00Z</dcterms:modified>
</cp:coreProperties>
</file>