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2A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- 31. OŽUJKA 2025.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158/23)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37/22)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4/24)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31. ožujka 2025.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701.431,76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352.979,60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348.452,16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102.564,59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102.564,59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701.431,76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474.504,58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226.927,18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1.147.706,53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01.01.2025 do 31.03.2025. godini su prihodi poslovanja ostvareni u iznosu od 701.431,76 €, odnosno 68,30% više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352.979,60 € odnosno 88,5% više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u prvom tromjesečju ove godine iznosi 102.564,59 €, što je u odnosu na 2024. godinu za isto razdoblje više za 1,9%. U 2024. godini godini ostvaren je višak prihoda i primitaka u iznosu od 1.147.706,53 € koji će biti uložen u izgradnju zgrade DVD-a.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prvom tromjesečju 2025. godine iznosi 356.003,28 € što je za 46,2% više nego u istom razdoblju 2024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Stalni porezi na nepokretnu imovinu (6131) ostvareni u prvom tromjesečju 2025. godine iznose 7.604,04 € što je više za 90,6% nego ostvareni u istom razdoblju 2024. godine. Povremeni porezi na imovinu (6134) ostvareni u prvom  tromjesečju 2025. godine iznose 48.842,04 € što je za 2% manje u odnosu na ostvarenje u istom razdoblju 2024.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potrošnju (6142) ostvareni u prvom tromjesečju 2025. godine iznosi 2.285,58 € što je za 21,6 % više u odnosu na ostvarenje u istom razdoblju 2024.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pomoći proračunu iz drugih proračuna i izvanproračunskim korisnicima (6331) ostvareni u prvom tromjesečju 2025. godine iznosi 73.843,56 € što je više za 4,1% u odnosu na isto razdoblje 2024.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Naknade za koncesije (6421) ostvarenih u provom tromjesečju 2025. godine iznose 2.205,00 €. Prihod od zakupa i iznajmljivanja imovine (6422) ostvarenih u prvom tromjesečju 2025. godini iznosi 451,26 € što je smanjenje u odnosu na isto razdoblje 2024. godine za 15%. Ostali prihodi od nefinancijske imovine (6429) ostvarene u prvom tromjesečju 2025. godini iznose 417,34 € što je za 41,6% manje u odnosu na ostvarenje iz 2024.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pristojbe i naknade (6514) ostvarene u prvom tromjesečju  2025. godine iznose 1.442,71 €, što je povećanje za 36,6% u odnosu na isto ostvarenje iz 2024.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prvom tromjesečju 2025. godini iznosi 178.568,94 € što je za 100% povećanje u odnosu na ostvarenje u istom razdoblju 2024. godine. Komunalna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naknada (6532) ostvarena u prvom tromjesečju 2025. godine iznosi 29.754,42 € što je za 4,2% povećanje u odnosu na isto razdoblje 2024.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prvom tromjesečju 2025. godine iznose 13,59 € što je za 83% smanjenje u odnosu na isto razdoblje 2024.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Plaća (bruto) (311) u prvom tromjesečju 2025. godine je evidentirano rashoda za plaće u iznosu od 33.648,10 € što je u odnosu na isto razdoblje 2024. godinu povećanje za 54,5%. Ostali rashodi za zaposlene (312) su ostvareni u iznosu od 5.300,00 €. Doprinos na plaće (313)  u prvom tromjesečju 2025. godini iznose 15.351,98 € što je povećanje za 66,4% u odnosu na prvo tromjesečje u 2024. godini. Radi se o povećanju koeficijenata za plaće službenika.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prvom tromjesečju 2025. godine iznose 1.762,78 € što je povećanje za 5,7% u odnosu na isto razdoblje 2024. godine. Rashodi za materijal i energiju (322) u prvom tromjesečju 2025. godine iznose 9.571,56 € što je smanjenje za 14,1% u odnosu na isto razdoblje 2024. godine. Rashodi za usluge (323) u prvom tromjesečju 2025. godine iznose 72.477,48 € što je povećanje za 64,9% u odnosu na isto razdoblje 2024. godine. Ostali nespomenuti rashodi poslovanja (329) u prvom tromjesečju 2025. godine iznose 5.862,56 € što je smanjenje za 51% u odnosu na isto razdoblje 2024.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Kamate za primljene kredite i zajmove (342) u prvom tromjesečju 2025. godine iznose 486,49 €. Ostali financijski rashodi (343) u prvom tromjesečju 2025. godine iznose 4.106,76 € što je povećanje za 30,1% u odnosu na isto razdoblje 2024.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naknade građanima i kućanstvima iz proračuna (372) u prvom tromjesečju 2025. godine iznose 62.334,22 € što je povećanje za 29,3% u odnosu na isto razdoblje 2024.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tromjesečju 2025. godine iznose 142.077,67 € što je povećanje za 100% u odnosu na isto razdoblje 2024.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nabavu neproizvedene dugotrajne imovine (41)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Nematerijalna imovina (412) u prvom tromjesečju 2025. godine iznosi 8.750,00 €.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tromjesečju 2025. godine iznose 81.020,73 € što je povećanje za 2,9% u odnosu na isto razdoblje 2024. godine. Postrojenje i oprema (422) u prvom tromjesečju 2025. godine iznose 543,86 € što je smanjenje za 97,3% u odnosu na isto razdoblje 2024. godine. 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Rashodi za dodatna ulaganja na nefinancijsku imovinu (45)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Dodatna ulaganja na postrojenjima i opremi (452) u prvom tromjesečju 2025. godine iznosi 12.250,00 €.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Izdaci za financijsku imovinu i otplatu zajma (54) u prvom tromjesečju iznose 18.960,39 €.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483.386,45 €. Obveze za rashode poslovanje (23) u iznosu od 108.243,59 € i Obveze za nabavu nefinancijske imovine (24) u iznosu od 8.575,01 € i Obveze za financijsku imovinu (26) u iznosu od 366.567,85 €.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8. travnja 2025.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3DC94-6A6B-470C-BA02-D417827B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8</cp:revision>
  <dcterms:created xsi:type="dcterms:W3CDTF">2022-07-08T08:59:00Z</dcterms:created>
  <dcterms:modified xsi:type="dcterms:W3CDTF">2025-04-07T13:42:00Z</dcterms:modified>
</cp:coreProperties>
</file>