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667b238cf2492a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33886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BILICE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23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>I - VI 2025.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823.081,59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1.241.762,34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150,9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373.361,15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731.667,67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196,0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449.720,44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510.094,67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113,4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162.586,21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338.801,11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208,4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162.586,21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338.801,11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208,4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37.920,78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37.920,78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PRIMITAKA OD FINANCIJSKE IMOVINE I ZADUŽIVANJA (šifre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37.920,78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37.920,78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100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249.213,45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133.372,78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53,5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U razdoblju od 01.01.2025 do 30.06.2025. godini su prihodi poslovanja ostvareni u iznosu od 510.094,67 €, odnosno 13,4% više nego prethodne godine u istom razdoblju, dok su rashodi poslovanja ostvareni u istom razdoblju u iznosu od 338.801,11 € odnosno 100% više nego prethodne godine u istom razdoblju.  Povećanje prihoda se najvećim dijelom odnosi na porez na nekretnine, te povećanje komunalnog doprinosa, dok povećanje manjka prihoda od nefinancijske imovine odnosi se najvećim dijelom na izgradnju infrastrukture.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8.265,13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Radi se o računu Metalni profili, koji je plaćen 30%, dok će ostatak računa biti plaćen kad radovi budu gotovi.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3.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>Unutargrupne transakcije koje su u izvještajima eliminirane</w:t>
      </w: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OPĆINA BILICE NEMA PRORAČUNSKOG KORISNIKA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>Bilješka 4.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>Manjak ili višak u poslovanju grupe i pregled strukture manjka/viška po proračunskim korisnicima </w:t>
      </w:r>
    </w:p>
    <w:p>
      <w:pPr>
        <w:jc w:val="both"/>
        <w:pStyle w:val="Normal"/>
        <w:spacing w:line="240" w:lineRule="auto"/>
      </w:pPr>
      <w:r>
        <w:rPr>
          <w:sz w:val="24"/>
          <w:rFonts w:ascii="Times New Roman" w:hAnsi="Times New Roman"/>
        </w:rPr>
        <w:t>OPĆINA BILICE NEMA PRORAČUNSKOG KORISNIKA</w:t>
      </w:r>
    </w:p>
    <w:p/>
  </w:body>
</w:document>
</file>

<file path=word/styles.xml><?xml version="1.0" encoding="utf-8"?>
<w:styles xmlns:w="http://schemas.openxmlformats.org/wordprocessingml/2006/main"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217618602f8457b" /></Relationships>
</file>