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D30" w:rsidRPr="00EC5D30" w:rsidRDefault="001B4D30" w:rsidP="001B4D30">
      <w:pPr>
        <w:pStyle w:val="Naslov"/>
        <w:ind w:left="567" w:right="567"/>
        <w:outlineLvl w:val="0"/>
      </w:pPr>
      <w:r w:rsidRPr="00EC5D30">
        <w:t>BILJEŠKE UZ FINANCIJSKE IZVJEŠTAJE ZA RAZDOBLJE 1. SIJEČNJA – 31. PROSINCA 201</w:t>
      </w:r>
      <w:r>
        <w:t>9.</w:t>
      </w:r>
    </w:p>
    <w:p w:rsidR="002B1532" w:rsidRDefault="002B1532"/>
    <w:p w:rsidR="001B4D30" w:rsidRDefault="001B4D30"/>
    <w:p w:rsidR="001B4D30" w:rsidRPr="001B4D30" w:rsidRDefault="001B4D30" w:rsidP="001B4D30">
      <w:pPr>
        <w:pStyle w:val="Odlomakpopisa"/>
        <w:numPr>
          <w:ilvl w:val="0"/>
          <w:numId w:val="1"/>
        </w:numPr>
        <w:rPr>
          <w:rFonts w:ascii="Times New Roman" w:hAnsi="Times New Roman" w:cs="Times New Roman"/>
          <w:b/>
          <w:sz w:val="24"/>
          <w:szCs w:val="24"/>
        </w:rPr>
      </w:pPr>
      <w:r w:rsidRPr="001B4D30">
        <w:rPr>
          <w:rFonts w:ascii="Times New Roman" w:hAnsi="Times New Roman" w:cs="Times New Roman"/>
          <w:b/>
          <w:sz w:val="24"/>
          <w:szCs w:val="24"/>
        </w:rPr>
        <w:t>BILJEŠKE UZ IZVJEŠTAJ O PRIHODIMA I RASHODIMA, PRIMICIMA I IZDACIMA</w:t>
      </w:r>
    </w:p>
    <w:p w:rsidR="001B4D30" w:rsidRDefault="001B4D30" w:rsidP="001B4D30"/>
    <w:p w:rsidR="001B4D30" w:rsidRPr="00124283" w:rsidRDefault="001B4D30" w:rsidP="001B4D30">
      <w:pPr>
        <w:pStyle w:val="Tijeloteksta"/>
        <w:jc w:val="left"/>
      </w:pPr>
      <w:r w:rsidRPr="00124283">
        <w:t>U obrascu PR-RAS iskazani su:</w:t>
      </w:r>
    </w:p>
    <w:tbl>
      <w:tblPr>
        <w:tblW w:w="9356"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7088"/>
        <w:gridCol w:w="2268"/>
      </w:tblGrid>
      <w:tr w:rsidR="001B4D30" w:rsidRPr="00124283" w:rsidTr="002560A9">
        <w:trPr>
          <w:trHeight w:val="340"/>
        </w:trPr>
        <w:tc>
          <w:tcPr>
            <w:tcW w:w="7088" w:type="dxa"/>
            <w:shd w:val="clear" w:color="auto" w:fill="auto"/>
            <w:vAlign w:val="center"/>
          </w:tcPr>
          <w:p w:rsidR="001B4D30" w:rsidRPr="00124283" w:rsidRDefault="001B4D30" w:rsidP="001B4D30">
            <w:pPr>
              <w:pStyle w:val="Tijeloteksta"/>
              <w:numPr>
                <w:ilvl w:val="0"/>
                <w:numId w:val="2"/>
              </w:numPr>
              <w:ind w:left="459"/>
              <w:jc w:val="left"/>
            </w:pPr>
            <w:bookmarkStart w:id="0" w:name="_Hlk382850900"/>
            <w:r w:rsidRPr="00124283">
              <w:t>ukupni prihodi poslovanja (AOP 001)</w:t>
            </w:r>
          </w:p>
        </w:tc>
        <w:tc>
          <w:tcPr>
            <w:tcW w:w="2268" w:type="dxa"/>
            <w:shd w:val="clear" w:color="auto" w:fill="auto"/>
            <w:vAlign w:val="center"/>
          </w:tcPr>
          <w:p w:rsidR="001B4D30" w:rsidRPr="00124283" w:rsidRDefault="001B4D30" w:rsidP="002560A9">
            <w:pPr>
              <w:pStyle w:val="Tijeloteksta"/>
              <w:jc w:val="right"/>
            </w:pPr>
            <w:r>
              <w:t>7.441.513</w:t>
            </w:r>
          </w:p>
        </w:tc>
      </w:tr>
      <w:tr w:rsidR="001B4D30" w:rsidRPr="00124283" w:rsidTr="002560A9">
        <w:trPr>
          <w:trHeight w:val="340"/>
        </w:trPr>
        <w:tc>
          <w:tcPr>
            <w:tcW w:w="7088" w:type="dxa"/>
            <w:shd w:val="clear" w:color="auto" w:fill="auto"/>
            <w:vAlign w:val="center"/>
          </w:tcPr>
          <w:p w:rsidR="001B4D30" w:rsidRPr="00124283" w:rsidRDefault="001B4D30" w:rsidP="001B4D30">
            <w:pPr>
              <w:pStyle w:val="Tijeloteksta"/>
              <w:numPr>
                <w:ilvl w:val="0"/>
                <w:numId w:val="2"/>
              </w:numPr>
              <w:ind w:left="459"/>
              <w:jc w:val="left"/>
            </w:pPr>
            <w:r w:rsidRPr="00124283">
              <w:t xml:space="preserve">ukupni rashodi poslovanja (AOP 148) </w:t>
            </w:r>
          </w:p>
        </w:tc>
        <w:tc>
          <w:tcPr>
            <w:tcW w:w="2268" w:type="dxa"/>
            <w:shd w:val="clear" w:color="auto" w:fill="auto"/>
            <w:vAlign w:val="center"/>
          </w:tcPr>
          <w:p w:rsidR="001B4D30" w:rsidRPr="00124283" w:rsidRDefault="001B4D30" w:rsidP="002560A9">
            <w:pPr>
              <w:pStyle w:val="Tijeloteksta"/>
              <w:jc w:val="right"/>
            </w:pPr>
            <w:r>
              <w:t>7.758.190</w:t>
            </w:r>
          </w:p>
        </w:tc>
      </w:tr>
      <w:tr w:rsidR="001B4D30" w:rsidRPr="00124283" w:rsidTr="002560A9">
        <w:trPr>
          <w:trHeight w:val="340"/>
        </w:trPr>
        <w:tc>
          <w:tcPr>
            <w:tcW w:w="7088" w:type="dxa"/>
            <w:shd w:val="clear" w:color="auto" w:fill="auto"/>
            <w:vAlign w:val="center"/>
          </w:tcPr>
          <w:p w:rsidR="001B4D30" w:rsidRPr="00124283" w:rsidRDefault="001B4D30" w:rsidP="002560A9">
            <w:pPr>
              <w:pStyle w:val="Tijeloteksta"/>
              <w:ind w:firstLine="1026"/>
              <w:jc w:val="left"/>
              <w:rPr>
                <w:b/>
                <w:bCs/>
                <w:i/>
                <w:iCs/>
              </w:rPr>
            </w:pPr>
            <w:r w:rsidRPr="00124283">
              <w:rPr>
                <w:b/>
                <w:bCs/>
                <w:i/>
                <w:iCs/>
              </w:rPr>
              <w:t>manjak prihoda poslovanja (AOP 283)</w:t>
            </w:r>
          </w:p>
        </w:tc>
        <w:tc>
          <w:tcPr>
            <w:tcW w:w="2268" w:type="dxa"/>
            <w:shd w:val="clear" w:color="auto" w:fill="auto"/>
            <w:vAlign w:val="center"/>
          </w:tcPr>
          <w:p w:rsidR="001B4D30" w:rsidRPr="00124283" w:rsidRDefault="001B4D30" w:rsidP="002560A9">
            <w:pPr>
              <w:pStyle w:val="Tijeloteksta"/>
              <w:jc w:val="right"/>
              <w:rPr>
                <w:b/>
                <w:bCs/>
                <w:i/>
                <w:iCs/>
              </w:rPr>
            </w:pPr>
            <w:r>
              <w:rPr>
                <w:b/>
                <w:bCs/>
                <w:i/>
                <w:iCs/>
              </w:rPr>
              <w:t>316.677</w:t>
            </w:r>
          </w:p>
        </w:tc>
      </w:tr>
      <w:tr w:rsidR="001B4D30" w:rsidRPr="00124283" w:rsidTr="002560A9">
        <w:trPr>
          <w:trHeight w:val="340"/>
        </w:trPr>
        <w:tc>
          <w:tcPr>
            <w:tcW w:w="7088" w:type="dxa"/>
            <w:shd w:val="clear" w:color="auto" w:fill="auto"/>
            <w:vAlign w:val="center"/>
          </w:tcPr>
          <w:p w:rsidR="001B4D30" w:rsidRPr="00124283" w:rsidRDefault="001B4D30" w:rsidP="001B4D30">
            <w:pPr>
              <w:pStyle w:val="Tijeloteksta"/>
              <w:numPr>
                <w:ilvl w:val="0"/>
                <w:numId w:val="2"/>
              </w:numPr>
              <w:ind w:left="459"/>
              <w:jc w:val="left"/>
            </w:pPr>
            <w:r w:rsidRPr="00124283">
              <w:t>ukupni prihodi od prodaje nefinancijske imovine (AOP 289)</w:t>
            </w:r>
          </w:p>
        </w:tc>
        <w:tc>
          <w:tcPr>
            <w:tcW w:w="2268" w:type="dxa"/>
            <w:shd w:val="clear" w:color="auto" w:fill="auto"/>
            <w:vAlign w:val="center"/>
          </w:tcPr>
          <w:p w:rsidR="001B4D30" w:rsidRPr="00124283" w:rsidRDefault="001B4D30" w:rsidP="002560A9">
            <w:pPr>
              <w:pStyle w:val="Tijeloteksta"/>
              <w:jc w:val="right"/>
            </w:pPr>
            <w:r>
              <w:t>0</w:t>
            </w:r>
          </w:p>
        </w:tc>
      </w:tr>
      <w:tr w:rsidR="001B4D30" w:rsidRPr="00124283" w:rsidTr="002560A9">
        <w:trPr>
          <w:trHeight w:val="340"/>
        </w:trPr>
        <w:tc>
          <w:tcPr>
            <w:tcW w:w="7088" w:type="dxa"/>
            <w:shd w:val="clear" w:color="auto" w:fill="auto"/>
            <w:vAlign w:val="center"/>
          </w:tcPr>
          <w:p w:rsidR="001B4D30" w:rsidRPr="00124283" w:rsidRDefault="001B4D30" w:rsidP="001B4D30">
            <w:pPr>
              <w:pStyle w:val="Tijeloteksta"/>
              <w:numPr>
                <w:ilvl w:val="0"/>
                <w:numId w:val="2"/>
              </w:numPr>
              <w:ind w:left="459"/>
              <w:jc w:val="left"/>
            </w:pPr>
            <w:r w:rsidRPr="00124283">
              <w:t>ukupni rashodi za nabavu nefinancijske imovine (AOP 341)</w:t>
            </w:r>
          </w:p>
        </w:tc>
        <w:tc>
          <w:tcPr>
            <w:tcW w:w="2268" w:type="dxa"/>
            <w:shd w:val="clear" w:color="auto" w:fill="auto"/>
            <w:vAlign w:val="center"/>
          </w:tcPr>
          <w:p w:rsidR="001B4D30" w:rsidRPr="00124283" w:rsidRDefault="001B4D30" w:rsidP="002560A9">
            <w:pPr>
              <w:pStyle w:val="Tijeloteksta"/>
              <w:jc w:val="right"/>
            </w:pPr>
            <w:r>
              <w:t>948.185</w:t>
            </w:r>
          </w:p>
        </w:tc>
      </w:tr>
      <w:tr w:rsidR="001B4D30" w:rsidRPr="00124283" w:rsidTr="002560A9">
        <w:trPr>
          <w:trHeight w:val="340"/>
        </w:trPr>
        <w:tc>
          <w:tcPr>
            <w:tcW w:w="7088" w:type="dxa"/>
            <w:shd w:val="clear" w:color="auto" w:fill="auto"/>
            <w:vAlign w:val="center"/>
          </w:tcPr>
          <w:p w:rsidR="001B4D30" w:rsidRPr="00124283" w:rsidRDefault="00D24633" w:rsidP="002560A9">
            <w:pPr>
              <w:pStyle w:val="Tijeloteksta"/>
              <w:ind w:firstLine="1026"/>
              <w:jc w:val="left"/>
              <w:rPr>
                <w:b/>
                <w:bCs/>
                <w:i/>
                <w:iCs/>
              </w:rPr>
            </w:pPr>
            <w:r>
              <w:rPr>
                <w:b/>
                <w:bCs/>
                <w:i/>
                <w:iCs/>
              </w:rPr>
              <w:t>m</w:t>
            </w:r>
            <w:r w:rsidR="001B4D30">
              <w:rPr>
                <w:b/>
                <w:bCs/>
                <w:i/>
                <w:iCs/>
              </w:rPr>
              <w:t>anjak prihoda od nefinancijske imovine</w:t>
            </w:r>
            <w:r w:rsidR="001B4D30" w:rsidRPr="00124283">
              <w:rPr>
                <w:b/>
                <w:bCs/>
                <w:i/>
                <w:iCs/>
              </w:rPr>
              <w:t xml:space="preserve"> (AOP 39</w:t>
            </w:r>
            <w:r w:rsidR="001B4D30">
              <w:rPr>
                <w:b/>
                <w:bCs/>
                <w:i/>
                <w:iCs/>
              </w:rPr>
              <w:t>9</w:t>
            </w:r>
            <w:r w:rsidR="001B4D30" w:rsidRPr="00124283">
              <w:rPr>
                <w:b/>
                <w:bCs/>
                <w:i/>
                <w:iCs/>
              </w:rPr>
              <w:t>)</w:t>
            </w:r>
          </w:p>
        </w:tc>
        <w:tc>
          <w:tcPr>
            <w:tcW w:w="2268" w:type="dxa"/>
            <w:shd w:val="clear" w:color="auto" w:fill="auto"/>
            <w:vAlign w:val="center"/>
          </w:tcPr>
          <w:p w:rsidR="001B4D30" w:rsidRPr="00124283" w:rsidRDefault="001B4D30" w:rsidP="002560A9">
            <w:pPr>
              <w:pStyle w:val="Tijeloteksta"/>
              <w:jc w:val="right"/>
              <w:rPr>
                <w:b/>
                <w:bCs/>
                <w:i/>
                <w:iCs/>
              </w:rPr>
            </w:pPr>
            <w:r>
              <w:rPr>
                <w:b/>
                <w:bCs/>
                <w:i/>
                <w:iCs/>
              </w:rPr>
              <w:t>948.185</w:t>
            </w:r>
          </w:p>
        </w:tc>
      </w:tr>
      <w:tr w:rsidR="00D24633" w:rsidRPr="00124283" w:rsidTr="002560A9">
        <w:trPr>
          <w:trHeight w:val="340"/>
        </w:trPr>
        <w:tc>
          <w:tcPr>
            <w:tcW w:w="7088" w:type="dxa"/>
            <w:shd w:val="clear" w:color="auto" w:fill="auto"/>
            <w:vAlign w:val="center"/>
          </w:tcPr>
          <w:p w:rsidR="00D24633" w:rsidRDefault="00D24633" w:rsidP="002560A9">
            <w:pPr>
              <w:pStyle w:val="Tijeloteksta"/>
              <w:ind w:firstLine="1026"/>
              <w:jc w:val="left"/>
              <w:rPr>
                <w:b/>
                <w:bCs/>
                <w:i/>
                <w:iCs/>
              </w:rPr>
            </w:pPr>
          </w:p>
        </w:tc>
        <w:tc>
          <w:tcPr>
            <w:tcW w:w="2268" w:type="dxa"/>
            <w:shd w:val="clear" w:color="auto" w:fill="auto"/>
            <w:vAlign w:val="center"/>
          </w:tcPr>
          <w:p w:rsidR="00D24633" w:rsidRDefault="00D24633" w:rsidP="002560A9">
            <w:pPr>
              <w:pStyle w:val="Tijeloteksta"/>
              <w:jc w:val="right"/>
              <w:rPr>
                <w:b/>
                <w:bCs/>
                <w:i/>
                <w:iCs/>
              </w:rPr>
            </w:pPr>
          </w:p>
        </w:tc>
      </w:tr>
      <w:tr w:rsidR="00D24633" w:rsidRPr="00124283" w:rsidTr="002560A9">
        <w:trPr>
          <w:trHeight w:val="340"/>
        </w:trPr>
        <w:tc>
          <w:tcPr>
            <w:tcW w:w="7088" w:type="dxa"/>
            <w:shd w:val="clear" w:color="auto" w:fill="auto"/>
            <w:vAlign w:val="center"/>
          </w:tcPr>
          <w:p w:rsidR="00D24633" w:rsidRDefault="00D24633" w:rsidP="002560A9">
            <w:pPr>
              <w:pStyle w:val="Tijeloteksta"/>
              <w:ind w:firstLine="1026"/>
              <w:jc w:val="left"/>
              <w:rPr>
                <w:b/>
                <w:bCs/>
                <w:i/>
                <w:iCs/>
              </w:rPr>
            </w:pPr>
            <w:r>
              <w:rPr>
                <w:b/>
                <w:bCs/>
                <w:i/>
                <w:iCs/>
              </w:rPr>
              <w:t>Ukupni prihodi i primici (AOP 629)</w:t>
            </w:r>
          </w:p>
        </w:tc>
        <w:tc>
          <w:tcPr>
            <w:tcW w:w="2268" w:type="dxa"/>
            <w:shd w:val="clear" w:color="auto" w:fill="auto"/>
            <w:vAlign w:val="center"/>
          </w:tcPr>
          <w:p w:rsidR="00D24633" w:rsidRDefault="00D24633" w:rsidP="002560A9">
            <w:pPr>
              <w:pStyle w:val="Tijeloteksta"/>
              <w:jc w:val="right"/>
              <w:rPr>
                <w:b/>
                <w:bCs/>
                <w:i/>
                <w:iCs/>
              </w:rPr>
            </w:pPr>
            <w:r>
              <w:rPr>
                <w:b/>
                <w:bCs/>
                <w:i/>
                <w:iCs/>
              </w:rPr>
              <w:t>7.441.513</w:t>
            </w:r>
          </w:p>
        </w:tc>
      </w:tr>
      <w:tr w:rsidR="00D24633" w:rsidRPr="00124283" w:rsidTr="002560A9">
        <w:trPr>
          <w:trHeight w:val="340"/>
        </w:trPr>
        <w:tc>
          <w:tcPr>
            <w:tcW w:w="7088" w:type="dxa"/>
            <w:shd w:val="clear" w:color="auto" w:fill="auto"/>
            <w:vAlign w:val="center"/>
          </w:tcPr>
          <w:p w:rsidR="00D24633" w:rsidRDefault="00D24633" w:rsidP="002560A9">
            <w:pPr>
              <w:pStyle w:val="Tijeloteksta"/>
              <w:ind w:firstLine="1026"/>
              <w:jc w:val="left"/>
              <w:rPr>
                <w:b/>
                <w:bCs/>
                <w:i/>
                <w:iCs/>
              </w:rPr>
            </w:pPr>
            <w:r>
              <w:rPr>
                <w:b/>
                <w:bCs/>
                <w:i/>
                <w:iCs/>
              </w:rPr>
              <w:t>Ukupni rashodi i izdaci (AOP 630)</w:t>
            </w:r>
          </w:p>
        </w:tc>
        <w:tc>
          <w:tcPr>
            <w:tcW w:w="2268" w:type="dxa"/>
            <w:shd w:val="clear" w:color="auto" w:fill="auto"/>
            <w:vAlign w:val="center"/>
          </w:tcPr>
          <w:p w:rsidR="00D24633" w:rsidRDefault="00D24633" w:rsidP="002560A9">
            <w:pPr>
              <w:pStyle w:val="Tijeloteksta"/>
              <w:jc w:val="right"/>
              <w:rPr>
                <w:b/>
                <w:bCs/>
                <w:i/>
                <w:iCs/>
              </w:rPr>
            </w:pPr>
            <w:r>
              <w:rPr>
                <w:b/>
                <w:bCs/>
                <w:i/>
                <w:iCs/>
              </w:rPr>
              <w:t>8.706.375</w:t>
            </w:r>
          </w:p>
        </w:tc>
      </w:tr>
      <w:tr w:rsidR="00D24633" w:rsidRPr="00124283" w:rsidTr="002560A9">
        <w:trPr>
          <w:trHeight w:val="340"/>
        </w:trPr>
        <w:tc>
          <w:tcPr>
            <w:tcW w:w="7088" w:type="dxa"/>
            <w:shd w:val="clear" w:color="auto" w:fill="auto"/>
            <w:vAlign w:val="center"/>
          </w:tcPr>
          <w:p w:rsidR="00D24633" w:rsidRDefault="00D24633" w:rsidP="002560A9">
            <w:pPr>
              <w:pStyle w:val="Tijeloteksta"/>
              <w:ind w:firstLine="1026"/>
              <w:jc w:val="left"/>
              <w:rPr>
                <w:b/>
                <w:bCs/>
                <w:i/>
                <w:iCs/>
              </w:rPr>
            </w:pPr>
            <w:r>
              <w:rPr>
                <w:b/>
                <w:bCs/>
                <w:i/>
                <w:iCs/>
              </w:rPr>
              <w:t>Manjak prihoda i primitaka (AOP 632)</w:t>
            </w:r>
          </w:p>
        </w:tc>
        <w:tc>
          <w:tcPr>
            <w:tcW w:w="2268" w:type="dxa"/>
            <w:shd w:val="clear" w:color="auto" w:fill="auto"/>
            <w:vAlign w:val="center"/>
          </w:tcPr>
          <w:p w:rsidR="00D24633" w:rsidRDefault="00D24633" w:rsidP="002560A9">
            <w:pPr>
              <w:pStyle w:val="Tijeloteksta"/>
              <w:jc w:val="right"/>
              <w:rPr>
                <w:b/>
                <w:bCs/>
                <w:i/>
                <w:iCs/>
              </w:rPr>
            </w:pPr>
            <w:r>
              <w:rPr>
                <w:b/>
                <w:bCs/>
                <w:i/>
                <w:iCs/>
              </w:rPr>
              <w:t>1.264.862</w:t>
            </w:r>
          </w:p>
        </w:tc>
      </w:tr>
      <w:tr w:rsidR="00D24633" w:rsidRPr="00124283" w:rsidTr="002560A9">
        <w:trPr>
          <w:trHeight w:val="340"/>
        </w:trPr>
        <w:tc>
          <w:tcPr>
            <w:tcW w:w="7088" w:type="dxa"/>
            <w:shd w:val="clear" w:color="auto" w:fill="auto"/>
            <w:vAlign w:val="center"/>
          </w:tcPr>
          <w:p w:rsidR="00D24633" w:rsidRDefault="00D24633" w:rsidP="002560A9">
            <w:pPr>
              <w:pStyle w:val="Tijeloteksta"/>
              <w:ind w:firstLine="1026"/>
              <w:jc w:val="left"/>
              <w:rPr>
                <w:b/>
                <w:bCs/>
                <w:i/>
                <w:iCs/>
              </w:rPr>
            </w:pPr>
            <w:r>
              <w:rPr>
                <w:b/>
                <w:bCs/>
                <w:i/>
                <w:iCs/>
              </w:rPr>
              <w:t xml:space="preserve">Manjak prihoda i primitaka – preneseni (AOP 634)  </w:t>
            </w:r>
          </w:p>
        </w:tc>
        <w:tc>
          <w:tcPr>
            <w:tcW w:w="2268" w:type="dxa"/>
            <w:shd w:val="clear" w:color="auto" w:fill="auto"/>
            <w:vAlign w:val="center"/>
          </w:tcPr>
          <w:p w:rsidR="00D24633" w:rsidRDefault="00D24633" w:rsidP="002560A9">
            <w:pPr>
              <w:pStyle w:val="Tijeloteksta"/>
              <w:jc w:val="right"/>
              <w:rPr>
                <w:b/>
                <w:bCs/>
                <w:i/>
                <w:iCs/>
              </w:rPr>
            </w:pPr>
            <w:r>
              <w:rPr>
                <w:b/>
                <w:bCs/>
                <w:i/>
                <w:iCs/>
              </w:rPr>
              <w:t>784.287</w:t>
            </w:r>
          </w:p>
        </w:tc>
      </w:tr>
      <w:tr w:rsidR="00D24633" w:rsidRPr="00124283" w:rsidTr="002560A9">
        <w:trPr>
          <w:trHeight w:val="340"/>
        </w:trPr>
        <w:tc>
          <w:tcPr>
            <w:tcW w:w="7088" w:type="dxa"/>
            <w:shd w:val="clear" w:color="auto" w:fill="auto"/>
            <w:vAlign w:val="center"/>
          </w:tcPr>
          <w:p w:rsidR="00D24633" w:rsidRDefault="00D24633" w:rsidP="002560A9">
            <w:pPr>
              <w:pStyle w:val="Tijeloteksta"/>
              <w:ind w:firstLine="1026"/>
              <w:jc w:val="left"/>
              <w:rPr>
                <w:b/>
                <w:bCs/>
                <w:i/>
                <w:iCs/>
              </w:rPr>
            </w:pPr>
            <w:r>
              <w:rPr>
                <w:b/>
                <w:bCs/>
                <w:i/>
                <w:iCs/>
              </w:rPr>
              <w:t>Manjak prihoda i primitaka za pokriće (AOP 636)</w:t>
            </w:r>
          </w:p>
        </w:tc>
        <w:tc>
          <w:tcPr>
            <w:tcW w:w="2268" w:type="dxa"/>
            <w:shd w:val="clear" w:color="auto" w:fill="auto"/>
            <w:vAlign w:val="center"/>
          </w:tcPr>
          <w:p w:rsidR="00D24633" w:rsidRDefault="00D24633" w:rsidP="002560A9">
            <w:pPr>
              <w:pStyle w:val="Tijeloteksta"/>
              <w:jc w:val="right"/>
              <w:rPr>
                <w:b/>
                <w:bCs/>
                <w:i/>
                <w:iCs/>
              </w:rPr>
            </w:pPr>
            <w:r>
              <w:rPr>
                <w:b/>
                <w:bCs/>
                <w:i/>
                <w:iCs/>
              </w:rPr>
              <w:t>2.049.149</w:t>
            </w:r>
          </w:p>
        </w:tc>
      </w:tr>
      <w:tr w:rsidR="001B4D30" w:rsidRPr="00EF4DC9" w:rsidTr="002560A9">
        <w:trPr>
          <w:trHeight w:val="340"/>
        </w:trPr>
        <w:tc>
          <w:tcPr>
            <w:tcW w:w="7088" w:type="dxa"/>
            <w:shd w:val="clear" w:color="auto" w:fill="auto"/>
            <w:vAlign w:val="center"/>
          </w:tcPr>
          <w:p w:rsidR="001B4D30" w:rsidRPr="00124283" w:rsidRDefault="001B4D30" w:rsidP="002560A9">
            <w:pPr>
              <w:pStyle w:val="Tijeloteksta"/>
              <w:ind w:firstLine="1026"/>
              <w:jc w:val="left"/>
              <w:rPr>
                <w:b/>
                <w:bCs/>
                <w:i/>
                <w:iCs/>
              </w:rPr>
            </w:pPr>
          </w:p>
        </w:tc>
        <w:tc>
          <w:tcPr>
            <w:tcW w:w="2268" w:type="dxa"/>
            <w:shd w:val="clear" w:color="auto" w:fill="auto"/>
            <w:vAlign w:val="center"/>
          </w:tcPr>
          <w:p w:rsidR="001B4D30" w:rsidRPr="0097236E" w:rsidRDefault="001B4D30" w:rsidP="002560A9">
            <w:pPr>
              <w:pStyle w:val="Tijeloteksta"/>
              <w:jc w:val="right"/>
              <w:rPr>
                <w:b/>
                <w:bCs/>
                <w:i/>
                <w:iCs/>
              </w:rPr>
            </w:pPr>
          </w:p>
        </w:tc>
      </w:tr>
    </w:tbl>
    <w:bookmarkEnd w:id="0"/>
    <w:p w:rsidR="00B07AEC" w:rsidRPr="004B4DEE" w:rsidRDefault="00D24633" w:rsidP="004B4DEE">
      <w:pPr>
        <w:jc w:val="both"/>
        <w:rPr>
          <w:rFonts w:ascii="Times New Roman" w:hAnsi="Times New Roman" w:cs="Times New Roman"/>
          <w:sz w:val="24"/>
          <w:szCs w:val="24"/>
        </w:rPr>
      </w:pPr>
      <w:r w:rsidRPr="004B4DEE">
        <w:rPr>
          <w:rFonts w:ascii="Times New Roman" w:hAnsi="Times New Roman" w:cs="Times New Roman"/>
          <w:sz w:val="24"/>
          <w:szCs w:val="24"/>
        </w:rPr>
        <w:t xml:space="preserve">U 2019. godini su prihodi poslovanja ostvareni u iznosu od 7.441.513 kuna, odnosno </w:t>
      </w:r>
      <w:r w:rsidR="00A57882" w:rsidRPr="004B4DEE">
        <w:rPr>
          <w:rFonts w:ascii="Times New Roman" w:hAnsi="Times New Roman" w:cs="Times New Roman"/>
          <w:sz w:val="24"/>
          <w:szCs w:val="24"/>
        </w:rPr>
        <w:t>10,2% manje nego prethodne godine, dok su rashodi poslovanja ostvareni u iznosu od 7.758.190 kn odnosno 23% više nego prethodne godine. Ovakav pad prihoda odnosi se na manje uplate tekućih pomoći proračunu iz drugih proračuna, značajan pad se bilježi u prihodima od komunalnog doprinosa. Manjak prihoda poslovanja utvrđen za  2019. godinu u iznosu 316.677 kn je veći u odnosu na 2018. godinu u kojoj nije bilo manjka poslovanja.</w:t>
      </w:r>
      <w:r w:rsidR="00B07AEC" w:rsidRPr="004B4DEE">
        <w:rPr>
          <w:rFonts w:ascii="Times New Roman" w:hAnsi="Times New Roman" w:cs="Times New Roman"/>
          <w:sz w:val="24"/>
          <w:szCs w:val="24"/>
        </w:rPr>
        <w:t xml:space="preserve"> </w:t>
      </w:r>
    </w:p>
    <w:p w:rsidR="00C75511" w:rsidRPr="004B4DEE" w:rsidRDefault="00B07AEC" w:rsidP="004B4DEE">
      <w:pPr>
        <w:jc w:val="both"/>
        <w:rPr>
          <w:rFonts w:ascii="Times New Roman" w:hAnsi="Times New Roman" w:cs="Times New Roman"/>
          <w:sz w:val="24"/>
          <w:szCs w:val="24"/>
        </w:rPr>
      </w:pPr>
      <w:r w:rsidRPr="004B4DEE">
        <w:rPr>
          <w:rFonts w:ascii="Times New Roman" w:hAnsi="Times New Roman" w:cs="Times New Roman"/>
          <w:sz w:val="24"/>
          <w:szCs w:val="24"/>
        </w:rPr>
        <w:t>Prihodi od prodaje nefinancijske imovine ostvarenih u 2019. godini su iznosili 0 kn kao što je bilo i u 2018. godini, a manjak prihoda od nefinancijske imovine ostvaren u 2019. godini</w:t>
      </w:r>
      <w:r w:rsidR="00C75511" w:rsidRPr="004B4DEE">
        <w:rPr>
          <w:rFonts w:ascii="Times New Roman" w:hAnsi="Times New Roman" w:cs="Times New Roman"/>
          <w:sz w:val="24"/>
          <w:szCs w:val="24"/>
        </w:rPr>
        <w:t xml:space="preserve"> iznosi 948.185 kn, š</w:t>
      </w:r>
      <w:r w:rsidRPr="004B4DEE">
        <w:rPr>
          <w:rFonts w:ascii="Times New Roman" w:hAnsi="Times New Roman" w:cs="Times New Roman"/>
          <w:sz w:val="24"/>
          <w:szCs w:val="24"/>
        </w:rPr>
        <w:t xml:space="preserve">to je </w:t>
      </w:r>
      <w:r w:rsidR="00C75511" w:rsidRPr="004B4DEE">
        <w:rPr>
          <w:rFonts w:ascii="Times New Roman" w:hAnsi="Times New Roman" w:cs="Times New Roman"/>
          <w:sz w:val="24"/>
          <w:szCs w:val="24"/>
        </w:rPr>
        <w:t>u odnosu na 2018. godinu manje za 1%. U 2018. godini utvrđen je manjak prihoda i primitaka za pokriće u sljedećem razdoblju  u iznosu 784.287 kn. (Manjak</w:t>
      </w:r>
      <w:r w:rsidR="004B4DEE" w:rsidRPr="004B4DEE">
        <w:rPr>
          <w:rFonts w:ascii="Times New Roman" w:hAnsi="Times New Roman" w:cs="Times New Roman"/>
          <w:sz w:val="24"/>
          <w:szCs w:val="24"/>
        </w:rPr>
        <w:t xml:space="preserve"> za 2018 godinu je iznosio 79</w:t>
      </w:r>
      <w:r w:rsidR="00C75511" w:rsidRPr="004B4DEE">
        <w:rPr>
          <w:rFonts w:ascii="Times New Roman" w:hAnsi="Times New Roman" w:cs="Times New Roman"/>
          <w:sz w:val="24"/>
          <w:szCs w:val="24"/>
        </w:rPr>
        <w:t xml:space="preserve">4.663, a smanjenje je zbog pogrešnih knjiženja i usklade na </w:t>
      </w:r>
      <w:r w:rsidR="004B4DEE" w:rsidRPr="004B4DEE">
        <w:rPr>
          <w:rFonts w:ascii="Times New Roman" w:hAnsi="Times New Roman" w:cs="Times New Roman"/>
          <w:sz w:val="24"/>
          <w:szCs w:val="24"/>
        </w:rPr>
        <w:t>784.287). Ukupni manjak prihoda i primitaka za pokriće u 2020. godini iznosi 2.049.149 kn.</w:t>
      </w:r>
    </w:p>
    <w:p w:rsidR="00D24633" w:rsidRDefault="00D24633" w:rsidP="004B4DEE">
      <w:pPr>
        <w:jc w:val="both"/>
      </w:pPr>
    </w:p>
    <w:p w:rsidR="004B4DEE" w:rsidRDefault="004B4DEE" w:rsidP="004B4DEE">
      <w:pPr>
        <w:pStyle w:val="Naslov"/>
        <w:keepNext/>
        <w:numPr>
          <w:ilvl w:val="0"/>
          <w:numId w:val="3"/>
        </w:numPr>
        <w:jc w:val="left"/>
        <w:rPr>
          <w:bCs w:val="0"/>
          <w:sz w:val="24"/>
        </w:rPr>
      </w:pPr>
      <w:r w:rsidRPr="004B4DEE">
        <w:rPr>
          <w:bCs w:val="0"/>
          <w:sz w:val="24"/>
        </w:rPr>
        <w:t>AOP 003 do 011 Porez i prirez na dohodak</w:t>
      </w:r>
    </w:p>
    <w:p w:rsidR="004B4DEE" w:rsidRDefault="004B4DEE" w:rsidP="004B4DEE">
      <w:pPr>
        <w:pStyle w:val="Naslov"/>
        <w:keepNext/>
        <w:jc w:val="left"/>
        <w:rPr>
          <w:b w:val="0"/>
          <w:bCs w:val="0"/>
          <w:sz w:val="24"/>
        </w:rPr>
      </w:pPr>
      <w:r>
        <w:rPr>
          <w:b w:val="0"/>
          <w:bCs w:val="0"/>
          <w:sz w:val="24"/>
        </w:rPr>
        <w:t xml:space="preserve">Prihod od poreza i prireza na dohodak ostvaren u 2019. godini iznosi 4.350.162, što je za 3,8% veći nego u 2018. godini. </w:t>
      </w:r>
    </w:p>
    <w:p w:rsidR="003500B2" w:rsidRDefault="003500B2" w:rsidP="004B4DEE">
      <w:pPr>
        <w:pStyle w:val="Naslov"/>
        <w:keepNext/>
        <w:jc w:val="left"/>
        <w:rPr>
          <w:b w:val="0"/>
          <w:bCs w:val="0"/>
          <w:sz w:val="24"/>
        </w:rPr>
      </w:pPr>
    </w:p>
    <w:p w:rsidR="003500B2" w:rsidRPr="003500B2" w:rsidRDefault="003500B2" w:rsidP="003500B2">
      <w:pPr>
        <w:pStyle w:val="Naslov"/>
        <w:keepNext/>
        <w:numPr>
          <w:ilvl w:val="0"/>
          <w:numId w:val="3"/>
        </w:numPr>
        <w:jc w:val="left"/>
        <w:rPr>
          <w:bCs w:val="0"/>
          <w:sz w:val="24"/>
        </w:rPr>
      </w:pPr>
      <w:r w:rsidRPr="003500B2">
        <w:rPr>
          <w:bCs w:val="0"/>
          <w:sz w:val="24"/>
        </w:rPr>
        <w:t>AOP 018 do 023 Porez na imovinu</w:t>
      </w:r>
    </w:p>
    <w:p w:rsidR="003500B2" w:rsidRDefault="003500B2" w:rsidP="003500B2">
      <w:pPr>
        <w:pStyle w:val="Naslov"/>
        <w:keepNext/>
        <w:jc w:val="left"/>
        <w:rPr>
          <w:b w:val="0"/>
          <w:bCs w:val="0"/>
          <w:sz w:val="24"/>
        </w:rPr>
      </w:pPr>
      <w:r>
        <w:rPr>
          <w:b w:val="0"/>
          <w:bCs w:val="0"/>
          <w:sz w:val="24"/>
        </w:rPr>
        <w:t xml:space="preserve">Stalni porezi na nepokretnu imovinu (AOP 019) ostvareni u 2019. godini iznose 508.933, što je manje za 0,3% nego ostvareni </w:t>
      </w:r>
      <w:r w:rsidR="00544F43">
        <w:rPr>
          <w:b w:val="0"/>
          <w:bCs w:val="0"/>
          <w:sz w:val="24"/>
        </w:rPr>
        <w:t xml:space="preserve">u 2018. godini zbog toga što su neke kuće postale stalno </w:t>
      </w:r>
      <w:r w:rsidR="00544F43">
        <w:rPr>
          <w:b w:val="0"/>
          <w:bCs w:val="0"/>
          <w:sz w:val="24"/>
        </w:rPr>
        <w:lastRenderedPageBreak/>
        <w:t xml:space="preserve">mjesto boravka a ne kuće za odmor. Povremeni porezi na imovinu (AOP 022) ostvareni u 2019. godini iznose 555.259 što je za 36,2% manje u odnosu na ostvarenje u 2018. godini. Razlog tolikog smanjenje </w:t>
      </w:r>
      <w:r w:rsidR="006D0E40">
        <w:rPr>
          <w:b w:val="0"/>
          <w:bCs w:val="0"/>
          <w:sz w:val="24"/>
        </w:rPr>
        <w:t>je smanjenje prometa nekretninama.</w:t>
      </w:r>
    </w:p>
    <w:p w:rsidR="006D0E40" w:rsidRDefault="006D0E40" w:rsidP="003500B2">
      <w:pPr>
        <w:pStyle w:val="Naslov"/>
        <w:keepNext/>
        <w:jc w:val="left"/>
        <w:rPr>
          <w:b w:val="0"/>
          <w:bCs w:val="0"/>
          <w:sz w:val="24"/>
        </w:rPr>
      </w:pPr>
    </w:p>
    <w:p w:rsidR="006D0E40" w:rsidRPr="006D0E40" w:rsidRDefault="006D0E40" w:rsidP="006D0E40">
      <w:pPr>
        <w:pStyle w:val="Naslov"/>
        <w:keepNext/>
        <w:numPr>
          <w:ilvl w:val="0"/>
          <w:numId w:val="3"/>
        </w:numPr>
        <w:jc w:val="left"/>
        <w:rPr>
          <w:bCs w:val="0"/>
          <w:sz w:val="24"/>
        </w:rPr>
      </w:pPr>
      <w:r w:rsidRPr="006D0E40">
        <w:rPr>
          <w:bCs w:val="0"/>
          <w:sz w:val="24"/>
        </w:rPr>
        <w:t>AOP 024 do 031 Porezi na robu i usluge</w:t>
      </w:r>
    </w:p>
    <w:p w:rsidR="006D0E40" w:rsidRDefault="006D0E40" w:rsidP="006D0E40">
      <w:pPr>
        <w:pStyle w:val="Naslov"/>
        <w:keepNext/>
        <w:jc w:val="left"/>
        <w:rPr>
          <w:b w:val="0"/>
          <w:bCs w:val="0"/>
          <w:sz w:val="24"/>
        </w:rPr>
      </w:pPr>
      <w:r>
        <w:rPr>
          <w:b w:val="0"/>
          <w:bCs w:val="0"/>
          <w:sz w:val="24"/>
        </w:rPr>
        <w:t>Porez na potrošnju alkoholnih i bezalkoholnih pića (AOP 026) ostvareni u 2019. godini iznose 47.436 kn što je za 17,9 % manje u odnosu na ostvarenje u 2018. godini. Porez na tvrtku (AOP 028) ostvaren u 2019. godini iznosi 3.513 kn što je manje za 59,5% u odnosu na 2018. godinu, razlog tome je ukidanje Poreza na tvrtku odnosno na naziv tvrtke.</w:t>
      </w:r>
    </w:p>
    <w:p w:rsidR="006D0E40" w:rsidRDefault="006D0E40" w:rsidP="006D0E40">
      <w:pPr>
        <w:pStyle w:val="Naslov"/>
        <w:keepNext/>
        <w:jc w:val="left"/>
        <w:rPr>
          <w:b w:val="0"/>
          <w:bCs w:val="0"/>
          <w:sz w:val="24"/>
        </w:rPr>
      </w:pPr>
    </w:p>
    <w:p w:rsidR="006D0E40" w:rsidRPr="002253FB" w:rsidRDefault="006D0E40" w:rsidP="006D0E40">
      <w:pPr>
        <w:pStyle w:val="Naslov"/>
        <w:keepNext/>
        <w:numPr>
          <w:ilvl w:val="0"/>
          <w:numId w:val="3"/>
        </w:numPr>
        <w:jc w:val="left"/>
        <w:rPr>
          <w:bCs w:val="0"/>
          <w:sz w:val="24"/>
        </w:rPr>
      </w:pPr>
      <w:r w:rsidRPr="002253FB">
        <w:rPr>
          <w:bCs w:val="0"/>
          <w:sz w:val="24"/>
        </w:rPr>
        <w:t xml:space="preserve">AOP 054 do </w:t>
      </w:r>
      <w:r w:rsidR="002253FB" w:rsidRPr="002253FB">
        <w:rPr>
          <w:bCs w:val="0"/>
          <w:sz w:val="24"/>
        </w:rPr>
        <w:t>056 Pomoći proračunu iz drugih proračuna</w:t>
      </w:r>
    </w:p>
    <w:p w:rsidR="002253FB" w:rsidRDefault="002253FB" w:rsidP="002253FB">
      <w:pPr>
        <w:pStyle w:val="Naslov"/>
        <w:keepNext/>
        <w:jc w:val="left"/>
        <w:rPr>
          <w:b w:val="0"/>
          <w:bCs w:val="0"/>
          <w:sz w:val="24"/>
        </w:rPr>
      </w:pPr>
      <w:r>
        <w:rPr>
          <w:b w:val="0"/>
          <w:bCs w:val="0"/>
          <w:sz w:val="24"/>
        </w:rPr>
        <w:t>Tekuće pomoći proračunu iz drugih proračuna (AOP 055) ostvareni u 2019. godini iznosi 162.234 kn što je u odnosu na 2018. godinu manje za 54,40%. Razlog smanjenju je što je Šibensko-kninska županija u 2019. godini manje izdvojila sredstava za pomoć u financiranju uređenja plaže.</w:t>
      </w:r>
    </w:p>
    <w:p w:rsidR="002253FB" w:rsidRDefault="002253FB" w:rsidP="002253FB">
      <w:pPr>
        <w:pStyle w:val="Naslov"/>
        <w:keepNext/>
        <w:jc w:val="left"/>
        <w:rPr>
          <w:b w:val="0"/>
          <w:bCs w:val="0"/>
          <w:sz w:val="24"/>
        </w:rPr>
      </w:pPr>
    </w:p>
    <w:p w:rsidR="002253FB" w:rsidRPr="00236B52" w:rsidRDefault="00236B52" w:rsidP="002253FB">
      <w:pPr>
        <w:pStyle w:val="Naslov"/>
        <w:keepNext/>
        <w:numPr>
          <w:ilvl w:val="0"/>
          <w:numId w:val="3"/>
        </w:numPr>
        <w:jc w:val="left"/>
        <w:rPr>
          <w:bCs w:val="0"/>
          <w:sz w:val="24"/>
        </w:rPr>
      </w:pPr>
      <w:r w:rsidRPr="00236B52">
        <w:rPr>
          <w:bCs w:val="0"/>
          <w:sz w:val="24"/>
        </w:rPr>
        <w:t>AOP 083 do 089 Prihod od nefinancijske imovine</w:t>
      </w:r>
    </w:p>
    <w:p w:rsidR="00CD5A31" w:rsidRDefault="00236B52" w:rsidP="00236B52">
      <w:pPr>
        <w:pStyle w:val="Naslov"/>
        <w:keepNext/>
        <w:jc w:val="left"/>
        <w:rPr>
          <w:b w:val="0"/>
          <w:bCs w:val="0"/>
          <w:sz w:val="24"/>
        </w:rPr>
      </w:pPr>
      <w:r>
        <w:rPr>
          <w:b w:val="0"/>
          <w:bCs w:val="0"/>
          <w:sz w:val="24"/>
        </w:rPr>
        <w:t xml:space="preserve">Naknade za koncesije (AOP 084) ostvarene u 2019. godini iznose 35.570 kn što je za 7,6% manje u odnosu na 2018. godinu, razlog je smanjenje broja zahtjeva za koncesije, a zbog toga i manji iznos. Prihod od zakupa i iznajmljivanja imovine (AOP 085) ostvarenih u 2019. godini iznose 121.926 kn što je porast u odnosu na 2018. godinu za </w:t>
      </w:r>
      <w:r w:rsidR="00ED4B55">
        <w:rPr>
          <w:b w:val="0"/>
          <w:bCs w:val="0"/>
          <w:sz w:val="24"/>
        </w:rPr>
        <w:t>163%, razlog tome je naplata potraživanja iz 2018. godine. Ostali prihodi od nefinancijske imovine (AOP 089) ostvarene u 2019.</w:t>
      </w:r>
      <w:r w:rsidR="00CD5A31">
        <w:rPr>
          <w:b w:val="0"/>
          <w:bCs w:val="0"/>
          <w:sz w:val="24"/>
        </w:rPr>
        <w:t xml:space="preserve"> godini iznose 17.749 kn što je za 27,91 % manje u odnosu na ostvarenje iz 2018. godine. Odnosi se na naknade za zadržavanje nezakonito izgrađenih zgrada u prostoru.</w:t>
      </w:r>
    </w:p>
    <w:p w:rsidR="00CD5A31" w:rsidRDefault="00CD5A31" w:rsidP="00236B52">
      <w:pPr>
        <w:pStyle w:val="Naslov"/>
        <w:keepNext/>
        <w:jc w:val="left"/>
        <w:rPr>
          <w:b w:val="0"/>
          <w:bCs w:val="0"/>
          <w:sz w:val="24"/>
        </w:rPr>
      </w:pPr>
    </w:p>
    <w:p w:rsidR="00CD5A31" w:rsidRPr="00CD5A31" w:rsidRDefault="00CD5A31" w:rsidP="00CD5A31">
      <w:pPr>
        <w:pStyle w:val="Naslov"/>
        <w:keepNext/>
        <w:numPr>
          <w:ilvl w:val="0"/>
          <w:numId w:val="3"/>
        </w:numPr>
        <w:jc w:val="left"/>
        <w:rPr>
          <w:bCs w:val="0"/>
          <w:sz w:val="24"/>
        </w:rPr>
      </w:pPr>
      <w:r w:rsidRPr="00CD5A31">
        <w:rPr>
          <w:bCs w:val="0"/>
          <w:sz w:val="24"/>
        </w:rPr>
        <w:t>AOP 106 do 110 Upravne i administrativne pristojbe</w:t>
      </w:r>
    </w:p>
    <w:p w:rsidR="00CD5A31" w:rsidRDefault="00CD5A31" w:rsidP="00CD5A31">
      <w:pPr>
        <w:pStyle w:val="Naslov"/>
        <w:keepNext/>
        <w:jc w:val="left"/>
        <w:rPr>
          <w:b w:val="0"/>
          <w:bCs w:val="0"/>
          <w:sz w:val="24"/>
        </w:rPr>
      </w:pPr>
      <w:r>
        <w:rPr>
          <w:b w:val="0"/>
          <w:bCs w:val="0"/>
          <w:sz w:val="24"/>
        </w:rPr>
        <w:t>Ostale pristojbe i naknade (AOP 110) ostvarene u 2019. godini iznose 263 kn što je manje za 13,5 % u odnosu na 2018. godinu.</w:t>
      </w:r>
    </w:p>
    <w:p w:rsidR="00CD5A31" w:rsidRDefault="00CD5A31" w:rsidP="00CD5A31">
      <w:pPr>
        <w:pStyle w:val="Naslov"/>
        <w:keepNext/>
        <w:jc w:val="left"/>
        <w:rPr>
          <w:b w:val="0"/>
          <w:bCs w:val="0"/>
          <w:sz w:val="24"/>
        </w:rPr>
      </w:pPr>
    </w:p>
    <w:p w:rsidR="00CD5A31" w:rsidRPr="00D93614" w:rsidRDefault="00CD5A31" w:rsidP="00CD5A31">
      <w:pPr>
        <w:pStyle w:val="Naslov"/>
        <w:keepNext/>
        <w:numPr>
          <w:ilvl w:val="0"/>
          <w:numId w:val="3"/>
        </w:numPr>
        <w:jc w:val="left"/>
        <w:rPr>
          <w:bCs w:val="0"/>
          <w:sz w:val="24"/>
        </w:rPr>
      </w:pPr>
      <w:r w:rsidRPr="00D93614">
        <w:rPr>
          <w:bCs w:val="0"/>
          <w:sz w:val="24"/>
        </w:rPr>
        <w:t>AOP 119 do 122 Komunalni doprinos i naknade</w:t>
      </w:r>
    </w:p>
    <w:p w:rsidR="00D93614" w:rsidRDefault="00CD5A31" w:rsidP="00CD5A31">
      <w:pPr>
        <w:pStyle w:val="Naslov"/>
        <w:keepNext/>
        <w:jc w:val="left"/>
        <w:rPr>
          <w:b w:val="0"/>
          <w:bCs w:val="0"/>
          <w:sz w:val="24"/>
        </w:rPr>
      </w:pPr>
      <w:r>
        <w:rPr>
          <w:b w:val="0"/>
          <w:bCs w:val="0"/>
          <w:sz w:val="24"/>
        </w:rPr>
        <w:t xml:space="preserve">Komunalni doprinos (AOP 120) ostvaren u 2019. godini iznosi 282.901 kn što je za </w:t>
      </w:r>
      <w:r w:rsidR="00D93614">
        <w:rPr>
          <w:b w:val="0"/>
          <w:bCs w:val="0"/>
          <w:sz w:val="24"/>
        </w:rPr>
        <w:t>59,3% manje u odnosu na ostvarenje iz 2018. godine. Razlog smanjenja je što se smanjilo ulaganje investitora u novogradnju i rekonstrukciju postojećih objekata. Komunalna naknada (AOP121) ostvarena u 2019. godini iznosi 927.551 kn što je za 3% povećanje u odnosu na 2018. godinu, razlog zbog primjene novog Zakona o komunalnog gospodarstvu, što je dovelo do promjena u razredima naplate.</w:t>
      </w:r>
    </w:p>
    <w:p w:rsidR="00D93614" w:rsidRDefault="00D93614" w:rsidP="00CD5A31">
      <w:pPr>
        <w:pStyle w:val="Naslov"/>
        <w:keepNext/>
        <w:jc w:val="left"/>
        <w:rPr>
          <w:b w:val="0"/>
          <w:bCs w:val="0"/>
          <w:sz w:val="24"/>
        </w:rPr>
      </w:pPr>
    </w:p>
    <w:p w:rsidR="00D93614" w:rsidRPr="00D93614" w:rsidRDefault="00D93614" w:rsidP="00D93614">
      <w:pPr>
        <w:pStyle w:val="Naslov"/>
        <w:keepNext/>
        <w:numPr>
          <w:ilvl w:val="0"/>
          <w:numId w:val="3"/>
        </w:numPr>
        <w:jc w:val="left"/>
        <w:rPr>
          <w:bCs w:val="0"/>
          <w:sz w:val="24"/>
        </w:rPr>
      </w:pPr>
      <w:r w:rsidRPr="00D93614">
        <w:rPr>
          <w:bCs w:val="0"/>
          <w:sz w:val="24"/>
        </w:rPr>
        <w:t>AOP 127 do 129 Donacije od pravnih i fizičkih osoba izvan općeg proračuna</w:t>
      </w:r>
    </w:p>
    <w:p w:rsidR="002253FB" w:rsidRDefault="00D93614" w:rsidP="002253FB">
      <w:pPr>
        <w:pStyle w:val="Naslov"/>
        <w:keepNext/>
        <w:jc w:val="left"/>
        <w:rPr>
          <w:b w:val="0"/>
          <w:bCs w:val="0"/>
          <w:sz w:val="24"/>
        </w:rPr>
      </w:pPr>
      <w:r>
        <w:rPr>
          <w:b w:val="0"/>
          <w:bCs w:val="0"/>
          <w:sz w:val="24"/>
        </w:rPr>
        <w:t>Tekuće donacije (AOP 128) ostvarene u 2019. godini iznose 385.235 kn što je za 6,7% smanjenje u odnosu na 2018. godinu.</w:t>
      </w:r>
    </w:p>
    <w:p w:rsidR="00D93614" w:rsidRDefault="00D93614" w:rsidP="002253FB">
      <w:pPr>
        <w:pStyle w:val="Naslov"/>
        <w:keepNext/>
        <w:jc w:val="left"/>
        <w:rPr>
          <w:b w:val="0"/>
          <w:bCs w:val="0"/>
          <w:sz w:val="24"/>
        </w:rPr>
      </w:pPr>
    </w:p>
    <w:p w:rsidR="00D93614" w:rsidRPr="00426AEF" w:rsidRDefault="00426AEF" w:rsidP="00426AEF">
      <w:pPr>
        <w:pStyle w:val="Naslov"/>
        <w:keepNext/>
        <w:numPr>
          <w:ilvl w:val="0"/>
          <w:numId w:val="3"/>
        </w:numPr>
        <w:jc w:val="left"/>
        <w:rPr>
          <w:bCs w:val="0"/>
          <w:sz w:val="24"/>
        </w:rPr>
      </w:pPr>
      <w:r w:rsidRPr="00426AEF">
        <w:rPr>
          <w:bCs w:val="0"/>
          <w:sz w:val="24"/>
        </w:rPr>
        <w:t>AOP 147 Ostali prihodi</w:t>
      </w:r>
    </w:p>
    <w:p w:rsidR="00426AEF" w:rsidRDefault="00426AEF" w:rsidP="00426AEF">
      <w:pPr>
        <w:pStyle w:val="Naslov"/>
        <w:keepNext/>
        <w:jc w:val="left"/>
        <w:rPr>
          <w:b w:val="0"/>
          <w:bCs w:val="0"/>
          <w:sz w:val="24"/>
        </w:rPr>
      </w:pPr>
      <w:r>
        <w:rPr>
          <w:b w:val="0"/>
          <w:bCs w:val="0"/>
          <w:sz w:val="24"/>
        </w:rPr>
        <w:t xml:space="preserve">Ostali prihodi (AOP 147) ostvareni u 2019. godini iznose 42.815 kn što je za 23% povećanje u odnosu na 2018. godinu. </w:t>
      </w:r>
    </w:p>
    <w:p w:rsidR="00426AEF" w:rsidRDefault="00426AEF" w:rsidP="00426AEF">
      <w:pPr>
        <w:pStyle w:val="Naslov"/>
        <w:keepNext/>
        <w:jc w:val="left"/>
        <w:rPr>
          <w:b w:val="0"/>
          <w:bCs w:val="0"/>
          <w:sz w:val="24"/>
        </w:rPr>
      </w:pPr>
    </w:p>
    <w:p w:rsidR="00426AEF" w:rsidRPr="00E66DFD" w:rsidRDefault="00A9483E" w:rsidP="00A9483E">
      <w:pPr>
        <w:pStyle w:val="Naslov"/>
        <w:keepNext/>
        <w:numPr>
          <w:ilvl w:val="0"/>
          <w:numId w:val="3"/>
        </w:numPr>
        <w:jc w:val="left"/>
        <w:rPr>
          <w:bCs w:val="0"/>
          <w:sz w:val="24"/>
        </w:rPr>
      </w:pPr>
      <w:r w:rsidRPr="00E66DFD">
        <w:rPr>
          <w:bCs w:val="0"/>
          <w:sz w:val="24"/>
        </w:rPr>
        <w:t xml:space="preserve">AOP </w:t>
      </w:r>
      <w:r w:rsidR="001D1BD8" w:rsidRPr="00E66DFD">
        <w:rPr>
          <w:bCs w:val="0"/>
          <w:sz w:val="24"/>
        </w:rPr>
        <w:t xml:space="preserve">149 do 156 Rashodi za zaposlene </w:t>
      </w:r>
    </w:p>
    <w:p w:rsidR="00E66DFD" w:rsidRDefault="001D1BD8" w:rsidP="001D1BD8">
      <w:pPr>
        <w:pStyle w:val="Naslov"/>
        <w:keepNext/>
        <w:jc w:val="left"/>
        <w:rPr>
          <w:b w:val="0"/>
          <w:bCs w:val="0"/>
          <w:sz w:val="24"/>
        </w:rPr>
      </w:pPr>
      <w:r>
        <w:rPr>
          <w:b w:val="0"/>
          <w:bCs w:val="0"/>
          <w:sz w:val="24"/>
        </w:rPr>
        <w:t xml:space="preserve">Plaća (bruto) (AOP 151 do 154) u 2019. godini je evidentirano rashoda za plaće u iznosu od 415.430 kn što je u odnosu na 2018. godinu smanjenje za 28,7%. Razlog tome je što su na Javnim radovima bila zaposlena dva radnika u odnosu na 2018. godinu gdje su bili zaposleni na Javnim radovima </w:t>
      </w:r>
      <w:r w:rsidR="00E66DFD">
        <w:rPr>
          <w:b w:val="0"/>
          <w:bCs w:val="0"/>
          <w:sz w:val="24"/>
        </w:rPr>
        <w:t xml:space="preserve">deset radnika. Doprinos na plaće (AOP 157 do 159) Doprinosi na </w:t>
      </w:r>
      <w:r w:rsidR="00E66DFD">
        <w:rPr>
          <w:b w:val="0"/>
          <w:bCs w:val="0"/>
          <w:sz w:val="24"/>
        </w:rPr>
        <w:lastRenderedPageBreak/>
        <w:t>zdravstveno osiguranje u 2019. godini iznose 68.173 kn zbog smanjenja postotka Doprinosa za obvezno zdravstveno osiguranje na 16,5% te ukidanja Doprinosa za zaštitu zdravlja na radu.</w:t>
      </w:r>
    </w:p>
    <w:p w:rsidR="00E66DFD" w:rsidRDefault="00E66DFD" w:rsidP="001D1BD8">
      <w:pPr>
        <w:pStyle w:val="Naslov"/>
        <w:keepNext/>
        <w:jc w:val="left"/>
        <w:rPr>
          <w:b w:val="0"/>
          <w:bCs w:val="0"/>
          <w:sz w:val="24"/>
        </w:rPr>
      </w:pPr>
    </w:p>
    <w:p w:rsidR="00E66DFD" w:rsidRPr="00E66DFD" w:rsidRDefault="00E66DFD" w:rsidP="00E66DFD">
      <w:pPr>
        <w:pStyle w:val="Naslov"/>
        <w:keepNext/>
        <w:numPr>
          <w:ilvl w:val="0"/>
          <w:numId w:val="3"/>
        </w:numPr>
        <w:jc w:val="left"/>
        <w:rPr>
          <w:bCs w:val="0"/>
          <w:sz w:val="24"/>
        </w:rPr>
      </w:pPr>
      <w:r w:rsidRPr="00E66DFD">
        <w:rPr>
          <w:bCs w:val="0"/>
          <w:sz w:val="24"/>
        </w:rPr>
        <w:t>AOP 162  do 165 Naknade troškova zaposlenima</w:t>
      </w:r>
    </w:p>
    <w:p w:rsidR="001D1BD8" w:rsidRDefault="00E66DFD" w:rsidP="00E66DFD">
      <w:pPr>
        <w:pStyle w:val="Naslov"/>
        <w:keepNext/>
        <w:jc w:val="left"/>
        <w:rPr>
          <w:b w:val="0"/>
          <w:bCs w:val="0"/>
          <w:sz w:val="24"/>
        </w:rPr>
      </w:pPr>
      <w:r>
        <w:rPr>
          <w:b w:val="0"/>
          <w:bCs w:val="0"/>
          <w:sz w:val="24"/>
        </w:rPr>
        <w:t xml:space="preserve"> Naknade za službena putovanja (AOP 162) u 2019.godini iznose 43.566 kn što je u odnosu na 2018. godinu smanjenje za 15%. Naknade za prijevoz (AOP 163) u 2019. godini iznose 30.772 kn što je smanjenje za 16,9% u odnosu na 2018. godinu. Stručno usavršavanje zaposlenika (AOP 164) u 2019. godini iznosi 11.876 kn što je povećanje u odnosu na 2018. godinu za 11%.</w:t>
      </w:r>
    </w:p>
    <w:p w:rsidR="00E66DFD" w:rsidRDefault="00E66DFD" w:rsidP="00E66DFD">
      <w:pPr>
        <w:pStyle w:val="Naslov"/>
        <w:keepNext/>
        <w:jc w:val="left"/>
        <w:rPr>
          <w:b w:val="0"/>
          <w:bCs w:val="0"/>
          <w:sz w:val="24"/>
        </w:rPr>
      </w:pPr>
    </w:p>
    <w:p w:rsidR="00E66DFD" w:rsidRPr="003E4D7E" w:rsidRDefault="00E66DFD" w:rsidP="00E66DFD">
      <w:pPr>
        <w:pStyle w:val="Naslov"/>
        <w:keepNext/>
        <w:numPr>
          <w:ilvl w:val="0"/>
          <w:numId w:val="3"/>
        </w:numPr>
        <w:jc w:val="left"/>
        <w:rPr>
          <w:bCs w:val="0"/>
          <w:sz w:val="24"/>
        </w:rPr>
      </w:pPr>
      <w:r w:rsidRPr="003E4D7E">
        <w:rPr>
          <w:bCs w:val="0"/>
          <w:sz w:val="24"/>
        </w:rPr>
        <w:t>AOP 166 do 173 Rashodi za materijal i energiju</w:t>
      </w:r>
    </w:p>
    <w:p w:rsidR="00E66DFD" w:rsidRDefault="003E4D7E" w:rsidP="00E66DFD">
      <w:pPr>
        <w:pStyle w:val="Naslov"/>
        <w:keepNext/>
        <w:jc w:val="left"/>
        <w:rPr>
          <w:b w:val="0"/>
          <w:bCs w:val="0"/>
          <w:sz w:val="24"/>
        </w:rPr>
      </w:pPr>
      <w:r>
        <w:rPr>
          <w:b w:val="0"/>
          <w:bCs w:val="0"/>
          <w:sz w:val="24"/>
        </w:rPr>
        <w:t>Uredski materijal i ostali materijalni rashodi (AOP 167) u 2019. godini iznose 42.540 kn što je u odnosu na 2018. godinu povećanje za 87,4%. Razlog tome je povećano naručivanje uredskog materijala zbog toga što su se stare zalihe istrošile. Energija (AOP 169) iznosi u 2019. godini 347.567 kn što je povećanje za 10% u odnosu na 2018. godinu. Razlog kašnjenje računa iz 2018. godine koji su proknjiženi u 2019. godini.</w:t>
      </w:r>
    </w:p>
    <w:p w:rsidR="003E4D7E" w:rsidRDefault="003E4D7E" w:rsidP="00E66DFD">
      <w:pPr>
        <w:pStyle w:val="Naslov"/>
        <w:keepNext/>
        <w:jc w:val="left"/>
        <w:rPr>
          <w:b w:val="0"/>
          <w:bCs w:val="0"/>
          <w:sz w:val="24"/>
        </w:rPr>
      </w:pPr>
    </w:p>
    <w:p w:rsidR="003E4D7E" w:rsidRDefault="004F5A53" w:rsidP="003E4D7E">
      <w:pPr>
        <w:pStyle w:val="Naslov"/>
        <w:keepNext/>
        <w:numPr>
          <w:ilvl w:val="0"/>
          <w:numId w:val="3"/>
        </w:numPr>
        <w:jc w:val="left"/>
        <w:rPr>
          <w:bCs w:val="0"/>
          <w:sz w:val="24"/>
        </w:rPr>
      </w:pPr>
      <w:r>
        <w:rPr>
          <w:bCs w:val="0"/>
          <w:sz w:val="24"/>
        </w:rPr>
        <w:t>AOP 174 do 183</w:t>
      </w:r>
      <w:r w:rsidR="003E4D7E" w:rsidRPr="003E4D7E">
        <w:rPr>
          <w:bCs w:val="0"/>
          <w:sz w:val="24"/>
        </w:rPr>
        <w:t xml:space="preserve"> Rashodi za usluge </w:t>
      </w:r>
    </w:p>
    <w:p w:rsidR="003E4D7E" w:rsidRDefault="004F5A53" w:rsidP="003E4D7E">
      <w:pPr>
        <w:pStyle w:val="Naslov"/>
        <w:keepNext/>
        <w:jc w:val="left"/>
        <w:rPr>
          <w:b w:val="0"/>
          <w:bCs w:val="0"/>
          <w:sz w:val="24"/>
        </w:rPr>
      </w:pPr>
      <w:r>
        <w:rPr>
          <w:b w:val="0"/>
          <w:bCs w:val="0"/>
          <w:sz w:val="24"/>
        </w:rPr>
        <w:t xml:space="preserve">Usluge telefona, pošte i prijevoza (AOP 175) u 2019. godini iznose 112.456 kn što je povećanje u odnosu na 2018. godinu za 97%. Razlog toga je prijevremeni prekid ugovorenih usluga telefona zbog lošeg izvršenja usluge, te prijelaz na novog dobavljača Hrvatski telekom. Veći računi za poštanske usluge zbog slanja novih rješenja komunalne naknade, te računa za 2019. godinu. Usluge tekućeg i investicijskog održavanja (AOP 176) u 2019. godini iznose 3.483.640 kn što je povećanje za 38,8 % u odnosu na 2018. godinu. Razlog tome je povećano održavanje javne rasvjete i održavanje cesta po naseljima. </w:t>
      </w:r>
      <w:r w:rsidR="005D474A">
        <w:rPr>
          <w:b w:val="0"/>
          <w:bCs w:val="0"/>
          <w:sz w:val="24"/>
        </w:rPr>
        <w:t>Ostali rashodi (AOP 177 do 183) u 2019. godini iznose 648.799 kn što je povećanje u odnosu na 2018. godinu za 23%.</w:t>
      </w:r>
    </w:p>
    <w:p w:rsidR="004F5A53" w:rsidRDefault="004F5A53" w:rsidP="003E4D7E">
      <w:pPr>
        <w:pStyle w:val="Naslov"/>
        <w:keepNext/>
        <w:jc w:val="left"/>
        <w:rPr>
          <w:b w:val="0"/>
          <w:bCs w:val="0"/>
          <w:sz w:val="24"/>
        </w:rPr>
      </w:pPr>
    </w:p>
    <w:p w:rsidR="004F5A53" w:rsidRPr="006D268C" w:rsidRDefault="004F5A53" w:rsidP="004F5A53">
      <w:pPr>
        <w:pStyle w:val="Naslov"/>
        <w:keepNext/>
        <w:numPr>
          <w:ilvl w:val="0"/>
          <w:numId w:val="3"/>
        </w:numPr>
        <w:jc w:val="left"/>
        <w:rPr>
          <w:bCs w:val="0"/>
          <w:sz w:val="24"/>
        </w:rPr>
      </w:pPr>
      <w:r w:rsidRPr="006D268C">
        <w:rPr>
          <w:bCs w:val="0"/>
          <w:sz w:val="24"/>
        </w:rPr>
        <w:t>AOP 193 do 207 Financijski rashodi</w:t>
      </w:r>
    </w:p>
    <w:p w:rsidR="004F5A53" w:rsidRDefault="006D268C" w:rsidP="004F5A53">
      <w:pPr>
        <w:pStyle w:val="Naslov"/>
        <w:keepNext/>
        <w:jc w:val="left"/>
        <w:rPr>
          <w:b w:val="0"/>
          <w:bCs w:val="0"/>
          <w:sz w:val="24"/>
        </w:rPr>
      </w:pPr>
      <w:r>
        <w:rPr>
          <w:b w:val="0"/>
          <w:bCs w:val="0"/>
          <w:sz w:val="24"/>
        </w:rPr>
        <w:t>Financijski rashodi (AOP 193) u 2019. godini iznose 125.090 kn što je povećanje za 21% u odnosu na 2018. godinu. To se odnosi na usluge banke te subvencioniranje komunalnog poduzeća Bilice d.o.o.</w:t>
      </w:r>
    </w:p>
    <w:p w:rsidR="006D268C" w:rsidRDefault="006D268C" w:rsidP="004F5A53">
      <w:pPr>
        <w:pStyle w:val="Naslov"/>
        <w:keepNext/>
        <w:jc w:val="left"/>
        <w:rPr>
          <w:b w:val="0"/>
          <w:bCs w:val="0"/>
          <w:sz w:val="24"/>
        </w:rPr>
      </w:pPr>
    </w:p>
    <w:p w:rsidR="006D268C" w:rsidRPr="006D268C" w:rsidRDefault="006D268C" w:rsidP="006D268C">
      <w:pPr>
        <w:pStyle w:val="Naslov"/>
        <w:keepNext/>
        <w:numPr>
          <w:ilvl w:val="0"/>
          <w:numId w:val="3"/>
        </w:numPr>
        <w:jc w:val="left"/>
        <w:rPr>
          <w:bCs w:val="0"/>
          <w:sz w:val="24"/>
        </w:rPr>
      </w:pPr>
      <w:r w:rsidRPr="006D268C">
        <w:rPr>
          <w:bCs w:val="0"/>
          <w:sz w:val="24"/>
        </w:rPr>
        <w:t>AOP 228 do 230 Pomoći unutar općeg proračuna</w:t>
      </w:r>
    </w:p>
    <w:p w:rsidR="006D268C" w:rsidRDefault="006D268C" w:rsidP="006D268C">
      <w:pPr>
        <w:pStyle w:val="Naslov"/>
        <w:keepNext/>
        <w:jc w:val="left"/>
        <w:rPr>
          <w:b w:val="0"/>
          <w:bCs w:val="0"/>
          <w:sz w:val="24"/>
        </w:rPr>
      </w:pPr>
      <w:r>
        <w:rPr>
          <w:b w:val="0"/>
          <w:bCs w:val="0"/>
          <w:sz w:val="24"/>
        </w:rPr>
        <w:t>Tekuće pomoći unutar općeg proračuna (AOP 229) iznose 38.584 kn u 2019. godini, zbog financiranja 30% plaće Jakova Bakule.</w:t>
      </w:r>
    </w:p>
    <w:p w:rsidR="006D268C" w:rsidRDefault="006D268C" w:rsidP="006D268C">
      <w:pPr>
        <w:pStyle w:val="Naslov"/>
        <w:keepNext/>
        <w:jc w:val="left"/>
        <w:rPr>
          <w:b w:val="0"/>
          <w:bCs w:val="0"/>
          <w:sz w:val="24"/>
        </w:rPr>
      </w:pPr>
    </w:p>
    <w:p w:rsidR="006D268C" w:rsidRPr="006D268C" w:rsidRDefault="006D268C" w:rsidP="006D268C">
      <w:pPr>
        <w:pStyle w:val="Naslov"/>
        <w:keepNext/>
        <w:numPr>
          <w:ilvl w:val="0"/>
          <w:numId w:val="3"/>
        </w:numPr>
        <w:jc w:val="left"/>
        <w:rPr>
          <w:bCs w:val="0"/>
          <w:sz w:val="24"/>
        </w:rPr>
      </w:pPr>
      <w:r w:rsidRPr="006D268C">
        <w:rPr>
          <w:bCs w:val="0"/>
          <w:sz w:val="24"/>
        </w:rPr>
        <w:t>AOP 246 do 253 Naknade građanima i kućanstvima na temelju osiguranja i druge naknade</w:t>
      </w:r>
    </w:p>
    <w:p w:rsidR="006D268C" w:rsidRDefault="006D268C" w:rsidP="006D268C">
      <w:pPr>
        <w:pStyle w:val="Naslov"/>
        <w:keepNext/>
        <w:jc w:val="left"/>
        <w:rPr>
          <w:b w:val="0"/>
          <w:bCs w:val="0"/>
          <w:sz w:val="24"/>
        </w:rPr>
      </w:pPr>
      <w:r>
        <w:rPr>
          <w:b w:val="0"/>
          <w:bCs w:val="0"/>
          <w:sz w:val="24"/>
        </w:rPr>
        <w:t>U 2019. godini iznose 1.173.005 kn što je za 15,6% povećanje u odnosu na 2018. godinu.</w:t>
      </w:r>
    </w:p>
    <w:p w:rsidR="006D268C" w:rsidRDefault="006D268C" w:rsidP="006D268C">
      <w:pPr>
        <w:pStyle w:val="Naslov"/>
        <w:keepNext/>
        <w:jc w:val="left"/>
        <w:rPr>
          <w:b w:val="0"/>
          <w:bCs w:val="0"/>
          <w:sz w:val="24"/>
        </w:rPr>
      </w:pPr>
    </w:p>
    <w:p w:rsidR="006D268C" w:rsidRDefault="005D474A" w:rsidP="006D268C">
      <w:pPr>
        <w:pStyle w:val="Naslov"/>
        <w:keepNext/>
        <w:numPr>
          <w:ilvl w:val="0"/>
          <w:numId w:val="3"/>
        </w:numPr>
        <w:jc w:val="left"/>
        <w:rPr>
          <w:bCs w:val="0"/>
          <w:sz w:val="24"/>
        </w:rPr>
      </w:pPr>
      <w:r w:rsidRPr="005D474A">
        <w:rPr>
          <w:bCs w:val="0"/>
          <w:sz w:val="24"/>
        </w:rPr>
        <w:t>AOP 258 Tekuće donacije</w:t>
      </w:r>
    </w:p>
    <w:p w:rsidR="005D474A" w:rsidRPr="005D474A" w:rsidRDefault="005D474A" w:rsidP="005D474A">
      <w:pPr>
        <w:pStyle w:val="Naslov"/>
        <w:keepNext/>
        <w:jc w:val="left"/>
        <w:rPr>
          <w:b w:val="0"/>
          <w:bCs w:val="0"/>
          <w:sz w:val="24"/>
        </w:rPr>
      </w:pPr>
      <w:r>
        <w:rPr>
          <w:b w:val="0"/>
          <w:bCs w:val="0"/>
          <w:sz w:val="24"/>
        </w:rPr>
        <w:t>U 2019. godini iznose 513.080. kn što je za 35,9% povećanje u odnosu na 2018. godinu. Zbog ne plaćanja Crvenom križu Šibenik zadnje 3 godine.</w:t>
      </w:r>
    </w:p>
    <w:p w:rsidR="006D268C" w:rsidRPr="004F5A53" w:rsidRDefault="006D268C" w:rsidP="004F5A53">
      <w:pPr>
        <w:pStyle w:val="Naslov"/>
        <w:keepNext/>
        <w:jc w:val="left"/>
        <w:rPr>
          <w:b w:val="0"/>
          <w:bCs w:val="0"/>
          <w:sz w:val="24"/>
        </w:rPr>
      </w:pPr>
    </w:p>
    <w:p w:rsidR="004B4DEE" w:rsidRDefault="004B4DEE" w:rsidP="004B4DEE">
      <w:pPr>
        <w:pStyle w:val="Naslov"/>
        <w:keepNext/>
        <w:jc w:val="left"/>
        <w:rPr>
          <w:b w:val="0"/>
          <w:bCs w:val="0"/>
          <w:sz w:val="24"/>
        </w:rPr>
      </w:pPr>
    </w:p>
    <w:p w:rsidR="005D474A" w:rsidRDefault="005D474A" w:rsidP="004B4DEE">
      <w:pPr>
        <w:pStyle w:val="Naslov"/>
        <w:keepNext/>
        <w:jc w:val="left"/>
        <w:rPr>
          <w:b w:val="0"/>
          <w:bCs w:val="0"/>
          <w:sz w:val="24"/>
        </w:rPr>
      </w:pPr>
    </w:p>
    <w:p w:rsidR="005D474A" w:rsidRDefault="005D474A" w:rsidP="004B4DEE">
      <w:pPr>
        <w:pStyle w:val="Naslov"/>
        <w:keepNext/>
        <w:jc w:val="left"/>
        <w:rPr>
          <w:b w:val="0"/>
          <w:bCs w:val="0"/>
          <w:sz w:val="24"/>
        </w:rPr>
      </w:pPr>
    </w:p>
    <w:p w:rsidR="005D474A" w:rsidRPr="004B4DEE" w:rsidRDefault="005D474A" w:rsidP="004B4DEE">
      <w:pPr>
        <w:pStyle w:val="Naslov"/>
        <w:keepNext/>
        <w:jc w:val="left"/>
        <w:rPr>
          <w:bCs w:val="0"/>
          <w:sz w:val="24"/>
        </w:rPr>
      </w:pPr>
    </w:p>
    <w:p w:rsidR="00D24633" w:rsidRDefault="00D24633" w:rsidP="004B4DEE">
      <w:pPr>
        <w:jc w:val="both"/>
      </w:pPr>
    </w:p>
    <w:p w:rsidR="00D24633" w:rsidRPr="005D474A" w:rsidRDefault="005D474A" w:rsidP="005D474A">
      <w:pPr>
        <w:pStyle w:val="Odlomakpopisa"/>
        <w:numPr>
          <w:ilvl w:val="0"/>
          <w:numId w:val="1"/>
        </w:numPr>
        <w:rPr>
          <w:rFonts w:ascii="Times New Roman" w:hAnsi="Times New Roman" w:cs="Times New Roman"/>
          <w:b/>
          <w:sz w:val="24"/>
          <w:szCs w:val="24"/>
        </w:rPr>
      </w:pPr>
      <w:r w:rsidRPr="005D474A">
        <w:rPr>
          <w:rFonts w:ascii="Times New Roman" w:hAnsi="Times New Roman" w:cs="Times New Roman"/>
          <w:b/>
          <w:sz w:val="24"/>
          <w:szCs w:val="24"/>
        </w:rPr>
        <w:lastRenderedPageBreak/>
        <w:t>BILJEŠKE UZ BILANCU</w:t>
      </w:r>
    </w:p>
    <w:p w:rsidR="00D24633" w:rsidRDefault="009809F2" w:rsidP="009809F2">
      <w:pPr>
        <w:pStyle w:val="Tijeloteksta"/>
        <w:numPr>
          <w:ilvl w:val="0"/>
          <w:numId w:val="3"/>
        </w:numPr>
      </w:pPr>
      <w:r>
        <w:t>AOP 064 Novac u banci i blagajni</w:t>
      </w:r>
    </w:p>
    <w:p w:rsidR="009809F2" w:rsidRDefault="009809F2" w:rsidP="009809F2">
      <w:pPr>
        <w:pStyle w:val="Tijeloteksta"/>
        <w:keepNext/>
        <w:rPr>
          <w:szCs w:val="24"/>
        </w:rPr>
      </w:pPr>
      <w:r w:rsidRPr="003D1A10">
        <w:rPr>
          <w:szCs w:val="24"/>
        </w:rPr>
        <w:t>Stanje na AOP-u 064 Novac u banci i blagajni obuhvaća novčana sredstva:</w:t>
      </w:r>
    </w:p>
    <w:p w:rsidR="009809F2" w:rsidRDefault="009809F2" w:rsidP="009809F2">
      <w:pPr>
        <w:pStyle w:val="Tijeloteksta"/>
        <w:keepNext/>
        <w:rPr>
          <w:szCs w:val="24"/>
        </w:rPr>
      </w:pPr>
    </w:p>
    <w:p w:rsidR="009809F2" w:rsidRDefault="009809F2" w:rsidP="009809F2">
      <w:pPr>
        <w:pStyle w:val="Tijeloteksta"/>
        <w:keepNext/>
        <w:rPr>
          <w:szCs w:val="24"/>
        </w:rPr>
      </w:pPr>
      <w:r>
        <w:rPr>
          <w:szCs w:val="24"/>
        </w:rPr>
        <w:t>Tablica 1</w:t>
      </w:r>
    </w:p>
    <w:tbl>
      <w:tblPr>
        <w:tblStyle w:val="Reetkatablice"/>
        <w:tblW w:w="0" w:type="auto"/>
        <w:tblLook w:val="04A0" w:firstRow="1" w:lastRow="0" w:firstColumn="1" w:lastColumn="0" w:noHBand="0" w:noVBand="1"/>
      </w:tblPr>
      <w:tblGrid>
        <w:gridCol w:w="1188"/>
        <w:gridCol w:w="6165"/>
        <w:gridCol w:w="1935"/>
      </w:tblGrid>
      <w:tr w:rsidR="009809F2" w:rsidTr="009809F2">
        <w:tc>
          <w:tcPr>
            <w:tcW w:w="1188" w:type="dxa"/>
          </w:tcPr>
          <w:p w:rsidR="009809F2" w:rsidRDefault="009809F2" w:rsidP="009809F2">
            <w:pPr>
              <w:pStyle w:val="Tijeloteksta"/>
              <w:keepNext/>
              <w:rPr>
                <w:szCs w:val="24"/>
              </w:rPr>
            </w:pPr>
          </w:p>
        </w:tc>
        <w:tc>
          <w:tcPr>
            <w:tcW w:w="6165" w:type="dxa"/>
          </w:tcPr>
          <w:p w:rsidR="009809F2" w:rsidRDefault="009809F2" w:rsidP="009809F2">
            <w:pPr>
              <w:pStyle w:val="Tijeloteksta"/>
              <w:keepNext/>
              <w:rPr>
                <w:szCs w:val="24"/>
              </w:rPr>
            </w:pPr>
            <w:r>
              <w:rPr>
                <w:szCs w:val="24"/>
              </w:rPr>
              <w:t>NOVČANA SREDSTVA</w:t>
            </w:r>
          </w:p>
        </w:tc>
        <w:tc>
          <w:tcPr>
            <w:tcW w:w="1935" w:type="dxa"/>
          </w:tcPr>
          <w:p w:rsidR="009809F2" w:rsidRDefault="009809F2" w:rsidP="009809F2">
            <w:pPr>
              <w:pStyle w:val="Tijeloteksta"/>
              <w:keepNext/>
              <w:jc w:val="right"/>
              <w:rPr>
                <w:szCs w:val="24"/>
              </w:rPr>
            </w:pPr>
            <w:r>
              <w:rPr>
                <w:szCs w:val="24"/>
              </w:rPr>
              <w:t>172.924,00</w:t>
            </w:r>
          </w:p>
        </w:tc>
      </w:tr>
      <w:tr w:rsidR="009809F2" w:rsidTr="009809F2">
        <w:tc>
          <w:tcPr>
            <w:tcW w:w="1188" w:type="dxa"/>
          </w:tcPr>
          <w:p w:rsidR="009809F2" w:rsidRDefault="009809F2" w:rsidP="009809F2">
            <w:pPr>
              <w:pStyle w:val="Tijeloteksta"/>
              <w:keepNext/>
              <w:rPr>
                <w:szCs w:val="24"/>
              </w:rPr>
            </w:pPr>
            <w:r>
              <w:rPr>
                <w:szCs w:val="24"/>
              </w:rPr>
              <w:t>111</w:t>
            </w:r>
          </w:p>
        </w:tc>
        <w:tc>
          <w:tcPr>
            <w:tcW w:w="6165" w:type="dxa"/>
          </w:tcPr>
          <w:p w:rsidR="009809F2" w:rsidRDefault="009809F2" w:rsidP="009809F2">
            <w:pPr>
              <w:pStyle w:val="Tijeloteksta"/>
              <w:keepNext/>
              <w:rPr>
                <w:szCs w:val="24"/>
              </w:rPr>
            </w:pPr>
            <w:r>
              <w:rPr>
                <w:szCs w:val="24"/>
              </w:rPr>
              <w:t>Novac u banci</w:t>
            </w:r>
          </w:p>
        </w:tc>
        <w:tc>
          <w:tcPr>
            <w:tcW w:w="1935" w:type="dxa"/>
          </w:tcPr>
          <w:p w:rsidR="009809F2" w:rsidRDefault="009809F2" w:rsidP="009809F2">
            <w:pPr>
              <w:pStyle w:val="Tijeloteksta"/>
              <w:keepNext/>
              <w:jc w:val="right"/>
              <w:rPr>
                <w:szCs w:val="24"/>
              </w:rPr>
            </w:pPr>
            <w:r>
              <w:rPr>
                <w:szCs w:val="24"/>
              </w:rPr>
              <w:t>152.612,00</w:t>
            </w:r>
          </w:p>
        </w:tc>
      </w:tr>
      <w:tr w:rsidR="009809F2" w:rsidTr="009809F2">
        <w:tc>
          <w:tcPr>
            <w:tcW w:w="1188" w:type="dxa"/>
          </w:tcPr>
          <w:p w:rsidR="009809F2" w:rsidRDefault="009809F2" w:rsidP="009809F2">
            <w:pPr>
              <w:pStyle w:val="Tijeloteksta"/>
              <w:keepNext/>
              <w:rPr>
                <w:szCs w:val="24"/>
              </w:rPr>
            </w:pPr>
            <w:r>
              <w:rPr>
                <w:szCs w:val="24"/>
              </w:rPr>
              <w:t>113</w:t>
            </w:r>
          </w:p>
        </w:tc>
        <w:tc>
          <w:tcPr>
            <w:tcW w:w="6165" w:type="dxa"/>
          </w:tcPr>
          <w:p w:rsidR="009809F2" w:rsidRDefault="009809F2" w:rsidP="009809F2">
            <w:pPr>
              <w:pStyle w:val="Tijeloteksta"/>
              <w:keepNext/>
              <w:rPr>
                <w:szCs w:val="24"/>
              </w:rPr>
            </w:pPr>
            <w:r>
              <w:rPr>
                <w:szCs w:val="24"/>
              </w:rPr>
              <w:t>Novac u blagajni</w:t>
            </w:r>
          </w:p>
        </w:tc>
        <w:tc>
          <w:tcPr>
            <w:tcW w:w="1935" w:type="dxa"/>
          </w:tcPr>
          <w:p w:rsidR="009809F2" w:rsidRDefault="009809F2" w:rsidP="009809F2">
            <w:pPr>
              <w:pStyle w:val="Tijeloteksta"/>
              <w:keepNext/>
              <w:jc w:val="right"/>
              <w:rPr>
                <w:szCs w:val="24"/>
              </w:rPr>
            </w:pPr>
            <w:r>
              <w:rPr>
                <w:szCs w:val="24"/>
              </w:rPr>
              <w:t>20.312,00</w:t>
            </w:r>
          </w:p>
        </w:tc>
      </w:tr>
    </w:tbl>
    <w:p w:rsidR="009809F2" w:rsidRDefault="009809F2" w:rsidP="009809F2">
      <w:pPr>
        <w:pStyle w:val="Tijeloteksta"/>
        <w:keepNext/>
        <w:rPr>
          <w:szCs w:val="24"/>
        </w:rPr>
      </w:pPr>
    </w:p>
    <w:p w:rsidR="009809F2" w:rsidRDefault="009809F2" w:rsidP="009809F2">
      <w:pPr>
        <w:pStyle w:val="Tijeloteksta"/>
        <w:keepNext/>
        <w:numPr>
          <w:ilvl w:val="0"/>
          <w:numId w:val="3"/>
        </w:numPr>
        <w:rPr>
          <w:szCs w:val="24"/>
        </w:rPr>
      </w:pPr>
      <w:r>
        <w:rPr>
          <w:szCs w:val="24"/>
        </w:rPr>
        <w:t>AOP 140 Potraživanja za prihode poslovanja</w:t>
      </w:r>
    </w:p>
    <w:p w:rsidR="009809F2" w:rsidRDefault="009809F2" w:rsidP="009809F2">
      <w:pPr>
        <w:pStyle w:val="Naslov"/>
        <w:keepNext/>
        <w:jc w:val="left"/>
        <w:rPr>
          <w:b w:val="0"/>
          <w:bCs w:val="0"/>
          <w:sz w:val="24"/>
        </w:rPr>
      </w:pPr>
      <w:r>
        <w:rPr>
          <w:b w:val="0"/>
          <w:bCs w:val="0"/>
          <w:sz w:val="24"/>
        </w:rPr>
        <w:t xml:space="preserve">Sastoji se od: </w:t>
      </w:r>
    </w:p>
    <w:p w:rsidR="009809F2" w:rsidRDefault="009809F2" w:rsidP="009809F2">
      <w:pPr>
        <w:pStyle w:val="Naslov"/>
        <w:keepNext/>
        <w:numPr>
          <w:ilvl w:val="0"/>
          <w:numId w:val="3"/>
        </w:numPr>
        <w:jc w:val="left"/>
        <w:rPr>
          <w:b w:val="0"/>
          <w:bCs w:val="0"/>
          <w:sz w:val="24"/>
        </w:rPr>
      </w:pPr>
      <w:r>
        <w:rPr>
          <w:b w:val="0"/>
          <w:bCs w:val="0"/>
          <w:sz w:val="24"/>
        </w:rPr>
        <w:t>AOP</w:t>
      </w:r>
      <w:r w:rsidR="006201C1">
        <w:rPr>
          <w:b w:val="0"/>
          <w:bCs w:val="0"/>
          <w:sz w:val="24"/>
        </w:rPr>
        <w:t xml:space="preserve"> 141</w:t>
      </w:r>
      <w:r>
        <w:rPr>
          <w:b w:val="0"/>
          <w:bCs w:val="0"/>
          <w:sz w:val="24"/>
        </w:rPr>
        <w:t xml:space="preserve"> Potraživanja za poreze u ukupnom iznosu od 1.603.875 kn </w:t>
      </w:r>
    </w:p>
    <w:p w:rsidR="009809F2" w:rsidRDefault="009809F2" w:rsidP="009809F2">
      <w:pPr>
        <w:pStyle w:val="Naslov"/>
        <w:keepNext/>
        <w:numPr>
          <w:ilvl w:val="0"/>
          <w:numId w:val="3"/>
        </w:numPr>
        <w:jc w:val="left"/>
        <w:rPr>
          <w:b w:val="0"/>
          <w:bCs w:val="0"/>
          <w:sz w:val="24"/>
        </w:rPr>
      </w:pPr>
      <w:r>
        <w:rPr>
          <w:b w:val="0"/>
          <w:bCs w:val="0"/>
          <w:sz w:val="24"/>
        </w:rPr>
        <w:t>AOP</w:t>
      </w:r>
      <w:r w:rsidR="006201C1">
        <w:rPr>
          <w:b w:val="0"/>
          <w:bCs w:val="0"/>
          <w:sz w:val="24"/>
        </w:rPr>
        <w:t xml:space="preserve"> 151</w:t>
      </w:r>
      <w:r>
        <w:rPr>
          <w:b w:val="0"/>
          <w:bCs w:val="0"/>
          <w:sz w:val="24"/>
        </w:rPr>
        <w:t xml:space="preserve"> Potraživanja za prihode od imovine u ukupnom iznosu od 348.477 kn</w:t>
      </w:r>
    </w:p>
    <w:p w:rsidR="009809F2" w:rsidRDefault="009809F2" w:rsidP="009809F2">
      <w:pPr>
        <w:pStyle w:val="Naslov"/>
        <w:keepNext/>
        <w:numPr>
          <w:ilvl w:val="0"/>
          <w:numId w:val="3"/>
        </w:numPr>
        <w:jc w:val="left"/>
        <w:rPr>
          <w:b w:val="0"/>
          <w:bCs w:val="0"/>
          <w:sz w:val="24"/>
        </w:rPr>
      </w:pPr>
      <w:r>
        <w:rPr>
          <w:b w:val="0"/>
          <w:bCs w:val="0"/>
          <w:sz w:val="24"/>
        </w:rPr>
        <w:t xml:space="preserve">AOP </w:t>
      </w:r>
      <w:r w:rsidRPr="009809F2">
        <w:rPr>
          <w:b w:val="0"/>
          <w:bCs w:val="0"/>
          <w:sz w:val="24"/>
        </w:rPr>
        <w:t xml:space="preserve"> </w:t>
      </w:r>
      <w:r w:rsidR="006201C1">
        <w:rPr>
          <w:b w:val="0"/>
          <w:bCs w:val="0"/>
          <w:sz w:val="24"/>
        </w:rPr>
        <w:t>152 Potraživanja za upravne i administrativne pristojbe, prostojbe po posebnim propisima i naknadama u ukupnom iznosu od 4.215.306 kn.</w:t>
      </w:r>
    </w:p>
    <w:p w:rsidR="006201C1" w:rsidRDefault="006201C1" w:rsidP="006201C1">
      <w:pPr>
        <w:pStyle w:val="Naslov"/>
        <w:keepNext/>
        <w:numPr>
          <w:ilvl w:val="0"/>
          <w:numId w:val="3"/>
        </w:numPr>
        <w:jc w:val="left"/>
        <w:rPr>
          <w:b w:val="0"/>
          <w:bCs w:val="0"/>
          <w:sz w:val="24"/>
        </w:rPr>
      </w:pPr>
      <w:r>
        <w:rPr>
          <w:b w:val="0"/>
          <w:bCs w:val="0"/>
          <w:sz w:val="24"/>
        </w:rPr>
        <w:t>Umanjeno za AOP 156 Ispravak vrijednosti potraživanja u ukupnom iznosu od 3.622.115 kn.</w:t>
      </w:r>
    </w:p>
    <w:p w:rsidR="006201C1" w:rsidRDefault="006201C1" w:rsidP="006201C1">
      <w:pPr>
        <w:pStyle w:val="Naslov"/>
        <w:keepNext/>
        <w:jc w:val="left"/>
        <w:rPr>
          <w:b w:val="0"/>
          <w:bCs w:val="0"/>
          <w:sz w:val="24"/>
        </w:rPr>
      </w:pPr>
    </w:p>
    <w:p w:rsidR="006201C1" w:rsidRDefault="00D545D6" w:rsidP="006201C1">
      <w:pPr>
        <w:pStyle w:val="Naslov"/>
        <w:keepNext/>
        <w:numPr>
          <w:ilvl w:val="0"/>
          <w:numId w:val="3"/>
        </w:numPr>
        <w:jc w:val="left"/>
        <w:rPr>
          <w:b w:val="0"/>
          <w:bCs w:val="0"/>
          <w:sz w:val="24"/>
        </w:rPr>
      </w:pPr>
      <w:r>
        <w:rPr>
          <w:b w:val="0"/>
          <w:bCs w:val="0"/>
          <w:sz w:val="24"/>
        </w:rPr>
        <w:t>AOP 164 do 175</w:t>
      </w:r>
      <w:r w:rsidR="006201C1">
        <w:rPr>
          <w:b w:val="0"/>
          <w:bCs w:val="0"/>
          <w:sz w:val="24"/>
        </w:rPr>
        <w:t xml:space="preserve"> Obveze za rashode poslovanja</w:t>
      </w:r>
      <w:r>
        <w:rPr>
          <w:b w:val="0"/>
          <w:bCs w:val="0"/>
          <w:sz w:val="24"/>
        </w:rPr>
        <w:t xml:space="preserve"> i Obveze za nabavu nefinancijske imovine</w:t>
      </w:r>
    </w:p>
    <w:p w:rsidR="006201C1" w:rsidRDefault="006201C1" w:rsidP="006201C1">
      <w:pPr>
        <w:pStyle w:val="Naslov"/>
        <w:keepNext/>
        <w:jc w:val="left"/>
        <w:rPr>
          <w:b w:val="0"/>
          <w:bCs w:val="0"/>
          <w:sz w:val="24"/>
        </w:rPr>
      </w:pPr>
      <w:r>
        <w:rPr>
          <w:b w:val="0"/>
          <w:bCs w:val="0"/>
          <w:sz w:val="24"/>
        </w:rPr>
        <w:t>Iznos od 1.868.984 kn na AOP 164 Obveze za rashode poslovanja odnose se na unesene, a neplaćene zahtjeve u 2019. godini za rashode poslovanja u iznosu od 1.654.402 kn (AOP 166 i 167)</w:t>
      </w:r>
      <w:r w:rsidR="00D545D6">
        <w:rPr>
          <w:b w:val="0"/>
          <w:bCs w:val="0"/>
          <w:sz w:val="24"/>
        </w:rPr>
        <w:t xml:space="preserve">  te na obveze za naknade građanima i kućanstvu u iznosu od 200.222 (AOP 172), obveze za kazne, naknade šteta i kapitalne pomoći u iznosu od 7.517 kn (AOP 173), te ostale tekuće obveze u iznosu od 6.843 kn (AOP 174). Iznos od 353.090 kn odnosi se na Obveze za nabavu nefinancijske imovine (AOP 175).</w:t>
      </w:r>
    </w:p>
    <w:p w:rsidR="00D545D6" w:rsidRDefault="00D545D6" w:rsidP="006201C1">
      <w:pPr>
        <w:pStyle w:val="Naslov"/>
        <w:keepNext/>
        <w:jc w:val="left"/>
        <w:rPr>
          <w:b w:val="0"/>
          <w:bCs w:val="0"/>
          <w:sz w:val="24"/>
        </w:rPr>
      </w:pPr>
    </w:p>
    <w:p w:rsidR="00BC0B51" w:rsidRDefault="00BC0B51" w:rsidP="006201C1">
      <w:pPr>
        <w:pStyle w:val="Naslov"/>
        <w:keepNext/>
        <w:jc w:val="left"/>
        <w:rPr>
          <w:b w:val="0"/>
          <w:bCs w:val="0"/>
          <w:sz w:val="24"/>
        </w:rPr>
      </w:pPr>
    </w:p>
    <w:p w:rsidR="00BC0B51" w:rsidRDefault="00BC0B51" w:rsidP="006201C1">
      <w:pPr>
        <w:pStyle w:val="Naslov"/>
        <w:keepNext/>
        <w:jc w:val="left"/>
        <w:rPr>
          <w:b w:val="0"/>
          <w:bCs w:val="0"/>
          <w:sz w:val="24"/>
        </w:rPr>
      </w:pPr>
    </w:p>
    <w:p w:rsidR="00D545D6" w:rsidRPr="00856A8E" w:rsidRDefault="00D545D6" w:rsidP="00D545D6">
      <w:pPr>
        <w:pStyle w:val="Naslov"/>
        <w:keepNext/>
        <w:numPr>
          <w:ilvl w:val="0"/>
          <w:numId w:val="1"/>
        </w:numPr>
        <w:jc w:val="left"/>
        <w:rPr>
          <w:b w:val="0"/>
          <w:bCs w:val="0"/>
          <w:sz w:val="24"/>
        </w:rPr>
      </w:pPr>
      <w:r w:rsidRPr="00D545D6">
        <w:rPr>
          <w:sz w:val="24"/>
        </w:rPr>
        <w:t>BILJEŠKE UZ IZVJEŠTAJ O PROMJENAMA U VRIJEDNOSTI I OBUJMU IMOVINE I OBVEZA</w:t>
      </w:r>
    </w:p>
    <w:p w:rsidR="00856A8E" w:rsidRPr="00D545D6" w:rsidRDefault="00856A8E" w:rsidP="00856A8E">
      <w:pPr>
        <w:pStyle w:val="Naslov"/>
        <w:keepNext/>
        <w:ind w:left="360"/>
        <w:jc w:val="left"/>
        <w:rPr>
          <w:b w:val="0"/>
          <w:bCs w:val="0"/>
          <w:sz w:val="24"/>
        </w:rPr>
      </w:pPr>
    </w:p>
    <w:p w:rsidR="009809F2" w:rsidRDefault="00856A8E" w:rsidP="009809F2">
      <w:pPr>
        <w:pStyle w:val="Tijeloteksta"/>
        <w:keepNext/>
      </w:pPr>
      <w:r w:rsidRPr="00F86D00">
        <w:t>U Obrascu P-VRIO evidentirane su sljedeće promjene</w:t>
      </w:r>
      <w:r>
        <w:t>:</w:t>
      </w:r>
    </w:p>
    <w:p w:rsidR="00856A8E" w:rsidRDefault="00856A8E" w:rsidP="009809F2">
      <w:pPr>
        <w:pStyle w:val="Tijeloteksta"/>
        <w:keepNext/>
      </w:pPr>
    </w:p>
    <w:p w:rsidR="00856A8E" w:rsidRDefault="00856A8E" w:rsidP="009809F2">
      <w:pPr>
        <w:pStyle w:val="Tijeloteksta"/>
        <w:keepNext/>
      </w:pPr>
      <w:r>
        <w:t>AOP 026 Promjena u obujmu financijske imovine</w:t>
      </w:r>
    </w:p>
    <w:tbl>
      <w:tblPr>
        <w:tblStyle w:val="Reetkatablice"/>
        <w:tblW w:w="0" w:type="auto"/>
        <w:tblLook w:val="04A0" w:firstRow="1" w:lastRow="0" w:firstColumn="1" w:lastColumn="0" w:noHBand="0" w:noVBand="1"/>
      </w:tblPr>
      <w:tblGrid>
        <w:gridCol w:w="5211"/>
        <w:gridCol w:w="974"/>
        <w:gridCol w:w="2296"/>
        <w:gridCol w:w="807"/>
      </w:tblGrid>
      <w:tr w:rsidR="00856A8E" w:rsidTr="00A2473C">
        <w:tc>
          <w:tcPr>
            <w:tcW w:w="5211" w:type="dxa"/>
          </w:tcPr>
          <w:p w:rsidR="00856A8E" w:rsidRPr="00856A8E" w:rsidRDefault="00856A8E" w:rsidP="009809F2">
            <w:pPr>
              <w:pStyle w:val="Tijeloteksta"/>
              <w:keepNext/>
              <w:rPr>
                <w:b/>
                <w:szCs w:val="24"/>
              </w:rPr>
            </w:pPr>
            <w:r w:rsidRPr="00856A8E">
              <w:rPr>
                <w:b/>
                <w:szCs w:val="24"/>
              </w:rPr>
              <w:t>Opis knjiženja</w:t>
            </w:r>
          </w:p>
        </w:tc>
        <w:tc>
          <w:tcPr>
            <w:tcW w:w="974" w:type="dxa"/>
          </w:tcPr>
          <w:p w:rsidR="00856A8E" w:rsidRPr="00856A8E" w:rsidRDefault="00856A8E" w:rsidP="009809F2">
            <w:pPr>
              <w:pStyle w:val="Tijeloteksta"/>
              <w:keepNext/>
              <w:rPr>
                <w:b/>
                <w:szCs w:val="24"/>
              </w:rPr>
            </w:pPr>
            <w:r w:rsidRPr="00856A8E">
              <w:rPr>
                <w:b/>
                <w:szCs w:val="24"/>
              </w:rPr>
              <w:t>Iznos</w:t>
            </w:r>
          </w:p>
        </w:tc>
        <w:tc>
          <w:tcPr>
            <w:tcW w:w="2296" w:type="dxa"/>
          </w:tcPr>
          <w:p w:rsidR="00856A8E" w:rsidRPr="00856A8E" w:rsidRDefault="00856A8E" w:rsidP="009809F2">
            <w:pPr>
              <w:pStyle w:val="Tijeloteksta"/>
              <w:keepNext/>
              <w:rPr>
                <w:b/>
                <w:szCs w:val="24"/>
              </w:rPr>
            </w:pPr>
            <w:r w:rsidRPr="00856A8E">
              <w:rPr>
                <w:b/>
                <w:szCs w:val="24"/>
              </w:rPr>
              <w:t>Smanjnje/povećanje</w:t>
            </w:r>
          </w:p>
        </w:tc>
        <w:tc>
          <w:tcPr>
            <w:tcW w:w="807" w:type="dxa"/>
          </w:tcPr>
          <w:p w:rsidR="00856A8E" w:rsidRPr="00856A8E" w:rsidRDefault="00856A8E" w:rsidP="009809F2">
            <w:pPr>
              <w:pStyle w:val="Tijeloteksta"/>
              <w:keepNext/>
              <w:rPr>
                <w:b/>
                <w:szCs w:val="24"/>
              </w:rPr>
            </w:pPr>
            <w:r w:rsidRPr="00856A8E">
              <w:rPr>
                <w:b/>
                <w:szCs w:val="24"/>
              </w:rPr>
              <w:t>AOP</w:t>
            </w:r>
          </w:p>
        </w:tc>
      </w:tr>
      <w:tr w:rsidR="00856A8E" w:rsidTr="00A2473C">
        <w:tc>
          <w:tcPr>
            <w:tcW w:w="5211" w:type="dxa"/>
          </w:tcPr>
          <w:p w:rsidR="00856A8E" w:rsidRDefault="00A2473C" w:rsidP="009809F2">
            <w:pPr>
              <w:pStyle w:val="Tijeloteksta"/>
              <w:keepNext/>
              <w:rPr>
                <w:szCs w:val="24"/>
              </w:rPr>
            </w:pPr>
            <w:r>
              <w:rPr>
                <w:szCs w:val="24"/>
              </w:rPr>
              <w:t>Otpis potraživanja Tiskara Malenica</w:t>
            </w:r>
          </w:p>
        </w:tc>
        <w:tc>
          <w:tcPr>
            <w:tcW w:w="974" w:type="dxa"/>
          </w:tcPr>
          <w:p w:rsidR="00856A8E" w:rsidRDefault="00A2473C" w:rsidP="00A2473C">
            <w:pPr>
              <w:pStyle w:val="Tijeloteksta"/>
              <w:keepNext/>
              <w:jc w:val="right"/>
              <w:rPr>
                <w:szCs w:val="24"/>
              </w:rPr>
            </w:pPr>
            <w:r>
              <w:rPr>
                <w:szCs w:val="24"/>
              </w:rPr>
              <w:t>-3059</w:t>
            </w:r>
          </w:p>
        </w:tc>
        <w:tc>
          <w:tcPr>
            <w:tcW w:w="2296" w:type="dxa"/>
          </w:tcPr>
          <w:p w:rsidR="00856A8E" w:rsidRDefault="00A2473C" w:rsidP="009809F2">
            <w:pPr>
              <w:pStyle w:val="Tijeloteksta"/>
              <w:keepNext/>
              <w:rPr>
                <w:szCs w:val="24"/>
              </w:rPr>
            </w:pPr>
            <w:r>
              <w:rPr>
                <w:szCs w:val="24"/>
              </w:rPr>
              <w:t>smanjenje</w:t>
            </w:r>
          </w:p>
        </w:tc>
        <w:tc>
          <w:tcPr>
            <w:tcW w:w="807" w:type="dxa"/>
          </w:tcPr>
          <w:p w:rsidR="00856A8E" w:rsidRDefault="00A2473C" w:rsidP="009809F2">
            <w:pPr>
              <w:pStyle w:val="Tijeloteksta"/>
              <w:keepNext/>
              <w:rPr>
                <w:szCs w:val="24"/>
              </w:rPr>
            </w:pPr>
            <w:r>
              <w:rPr>
                <w:szCs w:val="24"/>
              </w:rPr>
              <w:t>032</w:t>
            </w:r>
          </w:p>
        </w:tc>
      </w:tr>
      <w:tr w:rsidR="00856A8E" w:rsidTr="00A2473C">
        <w:tc>
          <w:tcPr>
            <w:tcW w:w="5211" w:type="dxa"/>
          </w:tcPr>
          <w:p w:rsidR="00856A8E" w:rsidRDefault="00A2473C" w:rsidP="009809F2">
            <w:pPr>
              <w:pStyle w:val="Tijeloteksta"/>
              <w:keepNext/>
              <w:rPr>
                <w:szCs w:val="24"/>
              </w:rPr>
            </w:pPr>
            <w:r>
              <w:rPr>
                <w:szCs w:val="24"/>
              </w:rPr>
              <w:t>Otpis potraživanja Soča Jelica</w:t>
            </w:r>
          </w:p>
        </w:tc>
        <w:tc>
          <w:tcPr>
            <w:tcW w:w="974" w:type="dxa"/>
          </w:tcPr>
          <w:p w:rsidR="00856A8E" w:rsidRDefault="00A2473C" w:rsidP="00A2473C">
            <w:pPr>
              <w:pStyle w:val="Tijeloteksta"/>
              <w:keepNext/>
              <w:jc w:val="right"/>
              <w:rPr>
                <w:szCs w:val="24"/>
              </w:rPr>
            </w:pPr>
            <w:r>
              <w:rPr>
                <w:szCs w:val="24"/>
              </w:rPr>
              <w:t>-1525</w:t>
            </w:r>
          </w:p>
        </w:tc>
        <w:tc>
          <w:tcPr>
            <w:tcW w:w="2296" w:type="dxa"/>
          </w:tcPr>
          <w:p w:rsidR="00856A8E" w:rsidRDefault="00A2473C" w:rsidP="009809F2">
            <w:pPr>
              <w:pStyle w:val="Tijeloteksta"/>
              <w:keepNext/>
              <w:rPr>
                <w:szCs w:val="24"/>
              </w:rPr>
            </w:pPr>
            <w:r>
              <w:rPr>
                <w:szCs w:val="24"/>
              </w:rPr>
              <w:t>Smanjenje</w:t>
            </w:r>
          </w:p>
        </w:tc>
        <w:tc>
          <w:tcPr>
            <w:tcW w:w="807" w:type="dxa"/>
          </w:tcPr>
          <w:p w:rsidR="00856A8E" w:rsidRDefault="00A2473C" w:rsidP="009809F2">
            <w:pPr>
              <w:pStyle w:val="Tijeloteksta"/>
              <w:keepNext/>
              <w:rPr>
                <w:szCs w:val="24"/>
              </w:rPr>
            </w:pPr>
            <w:r>
              <w:rPr>
                <w:szCs w:val="24"/>
              </w:rPr>
              <w:t>032</w:t>
            </w:r>
          </w:p>
        </w:tc>
      </w:tr>
      <w:tr w:rsidR="00856A8E" w:rsidTr="00A2473C">
        <w:tc>
          <w:tcPr>
            <w:tcW w:w="5211" w:type="dxa"/>
          </w:tcPr>
          <w:p w:rsidR="00856A8E" w:rsidRDefault="00A2473C" w:rsidP="009809F2">
            <w:pPr>
              <w:pStyle w:val="Tijeloteksta"/>
              <w:keepNext/>
              <w:rPr>
                <w:szCs w:val="24"/>
              </w:rPr>
            </w:pPr>
            <w:r>
              <w:rPr>
                <w:szCs w:val="24"/>
              </w:rPr>
              <w:t xml:space="preserve">Otpis potraživanja Gostiona </w:t>
            </w:r>
            <w:proofErr w:type="spellStart"/>
            <w:r>
              <w:rPr>
                <w:szCs w:val="24"/>
              </w:rPr>
              <w:t>Panova</w:t>
            </w:r>
            <w:proofErr w:type="spellEnd"/>
          </w:p>
        </w:tc>
        <w:tc>
          <w:tcPr>
            <w:tcW w:w="974" w:type="dxa"/>
          </w:tcPr>
          <w:p w:rsidR="00856A8E" w:rsidRDefault="00A2473C" w:rsidP="00A2473C">
            <w:pPr>
              <w:pStyle w:val="Tijeloteksta"/>
              <w:keepNext/>
              <w:jc w:val="right"/>
              <w:rPr>
                <w:szCs w:val="24"/>
              </w:rPr>
            </w:pPr>
            <w:r>
              <w:rPr>
                <w:szCs w:val="24"/>
              </w:rPr>
              <w:t>-1051</w:t>
            </w:r>
          </w:p>
        </w:tc>
        <w:tc>
          <w:tcPr>
            <w:tcW w:w="2296" w:type="dxa"/>
          </w:tcPr>
          <w:p w:rsidR="00856A8E" w:rsidRDefault="00A2473C" w:rsidP="009809F2">
            <w:pPr>
              <w:pStyle w:val="Tijeloteksta"/>
              <w:keepNext/>
              <w:rPr>
                <w:szCs w:val="24"/>
              </w:rPr>
            </w:pPr>
            <w:r>
              <w:rPr>
                <w:szCs w:val="24"/>
              </w:rPr>
              <w:t>Smanjenje</w:t>
            </w:r>
          </w:p>
        </w:tc>
        <w:tc>
          <w:tcPr>
            <w:tcW w:w="807" w:type="dxa"/>
          </w:tcPr>
          <w:p w:rsidR="00856A8E" w:rsidRDefault="00A2473C" w:rsidP="009809F2">
            <w:pPr>
              <w:pStyle w:val="Tijeloteksta"/>
              <w:keepNext/>
              <w:rPr>
                <w:szCs w:val="24"/>
              </w:rPr>
            </w:pPr>
            <w:r>
              <w:rPr>
                <w:szCs w:val="24"/>
              </w:rPr>
              <w:t>032</w:t>
            </w:r>
          </w:p>
        </w:tc>
      </w:tr>
      <w:tr w:rsidR="00856A8E" w:rsidTr="00A2473C">
        <w:tc>
          <w:tcPr>
            <w:tcW w:w="5211" w:type="dxa"/>
          </w:tcPr>
          <w:p w:rsidR="00856A8E" w:rsidRDefault="00A2473C" w:rsidP="009809F2">
            <w:pPr>
              <w:pStyle w:val="Tijeloteksta"/>
              <w:keepNext/>
              <w:rPr>
                <w:szCs w:val="24"/>
              </w:rPr>
            </w:pPr>
            <w:r>
              <w:rPr>
                <w:szCs w:val="24"/>
              </w:rPr>
              <w:t xml:space="preserve">Otpis potraživanja </w:t>
            </w:r>
            <w:proofErr w:type="spellStart"/>
            <w:r>
              <w:rPr>
                <w:szCs w:val="24"/>
              </w:rPr>
              <w:t>Velpro</w:t>
            </w:r>
            <w:proofErr w:type="spellEnd"/>
            <w:r>
              <w:rPr>
                <w:szCs w:val="24"/>
              </w:rPr>
              <w:t xml:space="preserve"> centar</w:t>
            </w:r>
          </w:p>
        </w:tc>
        <w:tc>
          <w:tcPr>
            <w:tcW w:w="974" w:type="dxa"/>
          </w:tcPr>
          <w:p w:rsidR="00856A8E" w:rsidRDefault="00A2473C" w:rsidP="00A2473C">
            <w:pPr>
              <w:pStyle w:val="Tijeloteksta"/>
              <w:keepNext/>
              <w:jc w:val="right"/>
              <w:rPr>
                <w:szCs w:val="24"/>
              </w:rPr>
            </w:pPr>
            <w:r>
              <w:rPr>
                <w:szCs w:val="24"/>
              </w:rPr>
              <w:t>-4277</w:t>
            </w:r>
          </w:p>
        </w:tc>
        <w:tc>
          <w:tcPr>
            <w:tcW w:w="2296" w:type="dxa"/>
          </w:tcPr>
          <w:p w:rsidR="00856A8E" w:rsidRDefault="00A2473C" w:rsidP="009809F2">
            <w:pPr>
              <w:pStyle w:val="Tijeloteksta"/>
              <w:keepNext/>
              <w:rPr>
                <w:szCs w:val="24"/>
              </w:rPr>
            </w:pPr>
            <w:r>
              <w:rPr>
                <w:szCs w:val="24"/>
              </w:rPr>
              <w:t>smanjenje</w:t>
            </w:r>
          </w:p>
        </w:tc>
        <w:tc>
          <w:tcPr>
            <w:tcW w:w="807" w:type="dxa"/>
          </w:tcPr>
          <w:p w:rsidR="00856A8E" w:rsidRDefault="00A2473C" w:rsidP="009809F2">
            <w:pPr>
              <w:pStyle w:val="Tijeloteksta"/>
              <w:keepNext/>
              <w:rPr>
                <w:szCs w:val="24"/>
              </w:rPr>
            </w:pPr>
            <w:r>
              <w:rPr>
                <w:szCs w:val="24"/>
              </w:rPr>
              <w:t>032</w:t>
            </w:r>
          </w:p>
        </w:tc>
      </w:tr>
    </w:tbl>
    <w:p w:rsidR="00856A8E" w:rsidRDefault="00856A8E" w:rsidP="009809F2">
      <w:pPr>
        <w:pStyle w:val="Tijeloteksta"/>
        <w:keepNext/>
        <w:rPr>
          <w:szCs w:val="24"/>
        </w:rPr>
      </w:pPr>
    </w:p>
    <w:p w:rsidR="00856A8E" w:rsidRPr="00856A8E" w:rsidRDefault="00856A8E" w:rsidP="00856A8E">
      <w:pPr>
        <w:pStyle w:val="Tijeloteksta"/>
        <w:keepNext/>
        <w:numPr>
          <w:ilvl w:val="0"/>
          <w:numId w:val="1"/>
        </w:numPr>
        <w:rPr>
          <w:b/>
          <w:szCs w:val="24"/>
        </w:rPr>
      </w:pPr>
      <w:r w:rsidRPr="00856A8E">
        <w:rPr>
          <w:b/>
        </w:rPr>
        <w:t>BILJEŠKE UZ IZVJEŠTAJ O RASHODIMA PREMA FUNKCIJSKOJ KLASIFIKACIJI</w:t>
      </w:r>
    </w:p>
    <w:p w:rsidR="00856A8E" w:rsidRDefault="00856A8E" w:rsidP="009809F2">
      <w:pPr>
        <w:pStyle w:val="Tijeloteksta"/>
        <w:keepNext/>
        <w:rPr>
          <w:szCs w:val="24"/>
        </w:rPr>
      </w:pPr>
    </w:p>
    <w:p w:rsidR="00856A8E" w:rsidRPr="00856A8E" w:rsidRDefault="00856A8E" w:rsidP="00856A8E">
      <w:pPr>
        <w:jc w:val="both"/>
        <w:rPr>
          <w:rFonts w:ascii="Times New Roman" w:hAnsi="Times New Roman" w:cs="Times New Roman"/>
          <w:b/>
          <w:bCs/>
          <w:sz w:val="24"/>
          <w:szCs w:val="24"/>
        </w:rPr>
      </w:pPr>
      <w:r w:rsidRPr="00856A8E">
        <w:rPr>
          <w:rFonts w:ascii="Times New Roman" w:hAnsi="Times New Roman" w:cs="Times New Roman"/>
          <w:sz w:val="24"/>
          <w:szCs w:val="24"/>
        </w:rPr>
        <w:t>U Obrascu RAS-funkcijski iskazani su rashodi razreda 3 i 4 prema funkcijama za koje su utrošeni te rashodi za zahtjeve korisnika plaćene iz izvora</w:t>
      </w:r>
      <w:r w:rsidR="001E7025">
        <w:rPr>
          <w:rFonts w:ascii="Times New Roman" w:hAnsi="Times New Roman" w:cs="Times New Roman"/>
          <w:sz w:val="24"/>
          <w:szCs w:val="24"/>
        </w:rPr>
        <w:t xml:space="preserve"> </w:t>
      </w:r>
      <w:r w:rsidR="00BC0B51">
        <w:rPr>
          <w:rFonts w:ascii="Times New Roman" w:hAnsi="Times New Roman" w:cs="Times New Roman"/>
          <w:sz w:val="24"/>
          <w:szCs w:val="24"/>
        </w:rPr>
        <w:t xml:space="preserve">1. Općih prihoda i primitaka. </w:t>
      </w:r>
    </w:p>
    <w:p w:rsidR="00856A8E" w:rsidRDefault="00856A8E" w:rsidP="00856A8E">
      <w:pPr>
        <w:jc w:val="both"/>
        <w:rPr>
          <w:rFonts w:ascii="Times New Roman" w:hAnsi="Times New Roman" w:cs="Times New Roman"/>
          <w:sz w:val="24"/>
          <w:szCs w:val="24"/>
        </w:rPr>
      </w:pPr>
      <w:r w:rsidRPr="00856A8E">
        <w:rPr>
          <w:rFonts w:ascii="Times New Roman" w:hAnsi="Times New Roman" w:cs="Times New Roman"/>
          <w:sz w:val="24"/>
          <w:szCs w:val="24"/>
        </w:rPr>
        <w:lastRenderedPageBreak/>
        <w:t xml:space="preserve">Iznosi navedeni u Obrascu RAS-funkcijski odgovaraju ukupno iskazanim rashodima u Obrascu PR-RAS na AOP-u 148 Rashodi poslovanja, </w:t>
      </w:r>
      <w:r w:rsidR="009B09F4">
        <w:rPr>
          <w:rFonts w:ascii="Times New Roman" w:hAnsi="Times New Roman" w:cs="Times New Roman"/>
          <w:sz w:val="24"/>
          <w:szCs w:val="24"/>
        </w:rPr>
        <w:t>umanjenom za iznos na</w:t>
      </w:r>
      <w:r w:rsidRPr="00856A8E">
        <w:rPr>
          <w:rFonts w:ascii="Times New Roman" w:hAnsi="Times New Roman" w:cs="Times New Roman"/>
          <w:sz w:val="24"/>
          <w:szCs w:val="24"/>
        </w:rPr>
        <w:t xml:space="preserve"> AOP-u 341 Rashodi za nabavu nefinancijske imovine</w:t>
      </w:r>
      <w:r w:rsidR="009B09F4">
        <w:rPr>
          <w:rFonts w:ascii="Times New Roman" w:hAnsi="Times New Roman" w:cs="Times New Roman"/>
          <w:sz w:val="24"/>
          <w:szCs w:val="24"/>
        </w:rPr>
        <w:t>.</w:t>
      </w:r>
    </w:p>
    <w:p w:rsidR="00BC0B51" w:rsidRDefault="00BC0B51" w:rsidP="00856A8E">
      <w:pPr>
        <w:jc w:val="both"/>
        <w:rPr>
          <w:rFonts w:ascii="Times New Roman" w:hAnsi="Times New Roman" w:cs="Times New Roman"/>
          <w:sz w:val="24"/>
          <w:szCs w:val="24"/>
        </w:rPr>
      </w:pPr>
    </w:p>
    <w:p w:rsidR="00BC0B51" w:rsidRDefault="00BC0B51" w:rsidP="00856A8E">
      <w:pPr>
        <w:jc w:val="both"/>
        <w:rPr>
          <w:rFonts w:ascii="Times New Roman" w:hAnsi="Times New Roman" w:cs="Times New Roman"/>
          <w:sz w:val="24"/>
          <w:szCs w:val="24"/>
        </w:rPr>
      </w:pPr>
    </w:p>
    <w:p w:rsidR="00BC0B51" w:rsidRDefault="00BC0B51" w:rsidP="00856A8E">
      <w:pPr>
        <w:jc w:val="both"/>
        <w:rPr>
          <w:rFonts w:ascii="Times New Roman" w:hAnsi="Times New Roman" w:cs="Times New Roman"/>
          <w:sz w:val="24"/>
          <w:szCs w:val="24"/>
        </w:rPr>
      </w:pPr>
    </w:p>
    <w:p w:rsidR="00BC0B51" w:rsidRPr="00856A8E" w:rsidRDefault="00BC0B51" w:rsidP="00856A8E">
      <w:pPr>
        <w:jc w:val="both"/>
        <w:rPr>
          <w:rFonts w:ascii="Times New Roman" w:hAnsi="Times New Roman" w:cs="Times New Roman"/>
          <w:sz w:val="24"/>
          <w:szCs w:val="24"/>
        </w:rPr>
      </w:pPr>
      <w:bookmarkStart w:id="1" w:name="_GoBack"/>
      <w:bookmarkEnd w:id="1"/>
    </w:p>
    <w:p w:rsidR="00856A8E" w:rsidRDefault="00BC0B51" w:rsidP="009809F2">
      <w:pPr>
        <w:pStyle w:val="Tijeloteksta"/>
        <w:keepNext/>
        <w:rPr>
          <w:szCs w:val="24"/>
        </w:rPr>
      </w:pPr>
      <w:r>
        <w:rPr>
          <w:szCs w:val="24"/>
        </w:rPr>
        <w:t xml:space="preserve">U </w:t>
      </w:r>
      <w:proofErr w:type="spellStart"/>
      <w:r>
        <w:rPr>
          <w:szCs w:val="24"/>
        </w:rPr>
        <w:t>Bilicama</w:t>
      </w:r>
      <w:proofErr w:type="spellEnd"/>
      <w:r>
        <w:rPr>
          <w:szCs w:val="24"/>
        </w:rPr>
        <w:t>, 14. veljače 2020.</w:t>
      </w:r>
    </w:p>
    <w:p w:rsidR="00BC0B51" w:rsidRDefault="00BC0B51" w:rsidP="009809F2">
      <w:pPr>
        <w:pStyle w:val="Tijeloteksta"/>
        <w:keepNext/>
        <w:rPr>
          <w:szCs w:val="24"/>
        </w:rPr>
      </w:pPr>
      <w:r>
        <w:rPr>
          <w:szCs w:val="24"/>
        </w:rPr>
        <w:t>Osoba za kontakt: Antonija Erceg</w:t>
      </w:r>
    </w:p>
    <w:p w:rsidR="00BC0B51" w:rsidRDefault="00BC0B51" w:rsidP="009809F2">
      <w:pPr>
        <w:pStyle w:val="Tijeloteksta"/>
        <w:keepNext/>
        <w:rPr>
          <w:szCs w:val="24"/>
        </w:rPr>
      </w:pPr>
      <w:r>
        <w:rPr>
          <w:szCs w:val="24"/>
        </w:rPr>
        <w:t>Telefon: 022/310-599</w:t>
      </w:r>
    </w:p>
    <w:p w:rsidR="00BC0B51" w:rsidRDefault="00BC0B51" w:rsidP="009809F2">
      <w:pPr>
        <w:pStyle w:val="Tijeloteksta"/>
        <w:keepNext/>
        <w:rPr>
          <w:szCs w:val="24"/>
        </w:rPr>
      </w:pPr>
    </w:p>
    <w:p w:rsidR="00BC0B51" w:rsidRPr="00BC0B51" w:rsidRDefault="00BC0B51" w:rsidP="009809F2">
      <w:pPr>
        <w:pStyle w:val="Tijeloteksta"/>
        <w:keepNext/>
        <w:rPr>
          <w:b/>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BC0B51">
        <w:rPr>
          <w:b/>
          <w:szCs w:val="24"/>
        </w:rPr>
        <w:t>NAČELNIK</w:t>
      </w:r>
    </w:p>
    <w:p w:rsidR="00BC0B51" w:rsidRPr="00856A8E" w:rsidRDefault="00BC0B51" w:rsidP="009809F2">
      <w:pPr>
        <w:pStyle w:val="Tijeloteksta"/>
        <w:keepNext/>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t>Josip Ćaleta Car</w:t>
      </w:r>
    </w:p>
    <w:sectPr w:rsidR="00BC0B51" w:rsidRPr="00856A8E" w:rsidSect="009B62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B960DF"/>
    <w:multiLevelType w:val="hybridMultilevel"/>
    <w:tmpl w:val="958467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C11230C"/>
    <w:multiLevelType w:val="hybridMultilevel"/>
    <w:tmpl w:val="250800A2"/>
    <w:lvl w:ilvl="0" w:tplc="0E3A1300">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2FB20BF"/>
    <w:multiLevelType w:val="hybridMultilevel"/>
    <w:tmpl w:val="11C2B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D30"/>
    <w:rsid w:val="00140BE8"/>
    <w:rsid w:val="001B4D30"/>
    <w:rsid w:val="001D1BD8"/>
    <w:rsid w:val="001E7025"/>
    <w:rsid w:val="002253FB"/>
    <w:rsid w:val="00236B52"/>
    <w:rsid w:val="002B1532"/>
    <w:rsid w:val="003500B2"/>
    <w:rsid w:val="003E4D7E"/>
    <w:rsid w:val="00426AEF"/>
    <w:rsid w:val="0043782A"/>
    <w:rsid w:val="004B4DEE"/>
    <w:rsid w:val="004F5A53"/>
    <w:rsid w:val="00544F43"/>
    <w:rsid w:val="005D474A"/>
    <w:rsid w:val="006201C1"/>
    <w:rsid w:val="006D0E40"/>
    <w:rsid w:val="006D268C"/>
    <w:rsid w:val="00856A8E"/>
    <w:rsid w:val="009809F2"/>
    <w:rsid w:val="009B09F4"/>
    <w:rsid w:val="009B628F"/>
    <w:rsid w:val="00A2473C"/>
    <w:rsid w:val="00A57882"/>
    <w:rsid w:val="00A9483E"/>
    <w:rsid w:val="00B07AEC"/>
    <w:rsid w:val="00BC0B51"/>
    <w:rsid w:val="00C75511"/>
    <w:rsid w:val="00CD5A31"/>
    <w:rsid w:val="00D24633"/>
    <w:rsid w:val="00D545D6"/>
    <w:rsid w:val="00D93614"/>
    <w:rsid w:val="00E66DFD"/>
    <w:rsid w:val="00ED4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17C961-AFD8-4E0F-AFC1-D74651029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28F"/>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link w:val="NaslovChar"/>
    <w:qFormat/>
    <w:rsid w:val="001B4D30"/>
    <w:pPr>
      <w:spacing w:after="0" w:line="240" w:lineRule="auto"/>
      <w:jc w:val="center"/>
    </w:pPr>
    <w:rPr>
      <w:rFonts w:ascii="Times New Roman" w:eastAsia="Times New Roman" w:hAnsi="Times New Roman" w:cs="Times New Roman"/>
      <w:b/>
      <w:bCs/>
      <w:sz w:val="28"/>
      <w:szCs w:val="24"/>
      <w:lang w:eastAsia="hr-HR"/>
    </w:rPr>
  </w:style>
  <w:style w:type="character" w:customStyle="1" w:styleId="NaslovChar">
    <w:name w:val="Naslov Char"/>
    <w:basedOn w:val="Zadanifontodlomka"/>
    <w:link w:val="Naslov"/>
    <w:rsid w:val="001B4D30"/>
    <w:rPr>
      <w:rFonts w:ascii="Times New Roman" w:eastAsia="Times New Roman" w:hAnsi="Times New Roman" w:cs="Times New Roman"/>
      <w:b/>
      <w:bCs/>
      <w:sz w:val="28"/>
      <w:szCs w:val="24"/>
      <w:lang w:eastAsia="hr-HR"/>
    </w:rPr>
  </w:style>
  <w:style w:type="paragraph" w:styleId="Odlomakpopisa">
    <w:name w:val="List Paragraph"/>
    <w:basedOn w:val="Normal"/>
    <w:uiPriority w:val="34"/>
    <w:qFormat/>
    <w:rsid w:val="001B4D30"/>
    <w:pPr>
      <w:ind w:left="720"/>
      <w:contextualSpacing/>
    </w:pPr>
  </w:style>
  <w:style w:type="paragraph" w:styleId="Tijeloteksta">
    <w:name w:val="Body Text"/>
    <w:basedOn w:val="Normal"/>
    <w:link w:val="TijelotekstaChar"/>
    <w:rsid w:val="001B4D30"/>
    <w:pPr>
      <w:spacing w:after="0" w:line="240" w:lineRule="auto"/>
      <w:jc w:val="both"/>
    </w:pPr>
    <w:rPr>
      <w:rFonts w:ascii="Times New Roman" w:eastAsia="Times New Roman" w:hAnsi="Times New Roman" w:cs="Times New Roman"/>
      <w:sz w:val="24"/>
      <w:szCs w:val="20"/>
      <w:lang w:eastAsia="hr-HR"/>
    </w:rPr>
  </w:style>
  <w:style w:type="character" w:customStyle="1" w:styleId="TijelotekstaChar">
    <w:name w:val="Tijelo teksta Char"/>
    <w:basedOn w:val="Zadanifontodlomka"/>
    <w:link w:val="Tijeloteksta"/>
    <w:rsid w:val="001B4D30"/>
    <w:rPr>
      <w:rFonts w:ascii="Times New Roman" w:eastAsia="Times New Roman" w:hAnsi="Times New Roman" w:cs="Times New Roman"/>
      <w:sz w:val="24"/>
      <w:szCs w:val="20"/>
      <w:lang w:eastAsia="hr-HR"/>
    </w:rPr>
  </w:style>
  <w:style w:type="table" w:styleId="Reetkatablice">
    <w:name w:val="Table Grid"/>
    <w:basedOn w:val="Obinatablica"/>
    <w:uiPriority w:val="39"/>
    <w:rsid w:val="00980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1499</Words>
  <Characters>8550</Characters>
  <Application>Microsoft Office Word</Application>
  <DocSecurity>0</DocSecurity>
  <Lines>71</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dc:creator>
  <cp:lastModifiedBy>mira</cp:lastModifiedBy>
  <cp:revision>2</cp:revision>
  <dcterms:created xsi:type="dcterms:W3CDTF">2020-02-17T06:45:00Z</dcterms:created>
  <dcterms:modified xsi:type="dcterms:W3CDTF">2020-02-17T06:45:00Z</dcterms:modified>
</cp:coreProperties>
</file>