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before="73"/>
        <w:ind w:left="218" w:right="162" w:firstLine="490"/>
        <w:jc w:val="both"/>
      </w:pPr>
      <w:bookmarkStart w:id="0" w:name="_Hlk104445713"/>
      <w:r>
        <w:t>Na temelju članka 89. stavka 2. Zakona o proračunu («Narodne novine», broj</w:t>
      </w:r>
      <w:r>
        <w:rPr>
          <w:spacing w:val="1"/>
        </w:rPr>
        <w:t xml:space="preserve"> </w:t>
      </w:r>
      <w:r>
        <w:t>144/21.), članka 55. stavka 3. Pravilnika o polugodišnjem i godišnjem izvještaju o</w:t>
      </w:r>
      <w:r>
        <w:rPr>
          <w:spacing w:val="1"/>
        </w:rPr>
        <w:t xml:space="preserve"> </w:t>
      </w:r>
      <w:r>
        <w:t>izvršenju</w:t>
      </w:r>
      <w:r>
        <w:rPr>
          <w:spacing w:val="8"/>
        </w:rPr>
        <w:t xml:space="preserve"> </w:t>
      </w:r>
      <w:r>
        <w:t>proračuna i financijskog plana</w:t>
      </w:r>
      <w:r>
        <w:rPr>
          <w:spacing w:val="8"/>
        </w:rPr>
        <w:t xml:space="preserve"> </w:t>
      </w:r>
      <w:r>
        <w:t>(«Narodne</w:t>
      </w:r>
      <w:r>
        <w:rPr>
          <w:spacing w:val="6"/>
        </w:rPr>
        <w:t xml:space="preserve"> </w:t>
      </w:r>
      <w:r>
        <w:t>novine»,</w:t>
      </w:r>
      <w:r>
        <w:rPr>
          <w:spacing w:val="11"/>
        </w:rPr>
        <w:t xml:space="preserve"> </w:t>
      </w:r>
      <w:r>
        <w:t>broj</w:t>
      </w:r>
      <w:r>
        <w:rPr>
          <w:spacing w:val="8"/>
        </w:rPr>
        <w:t xml:space="preserve"> </w:t>
      </w:r>
      <w:r>
        <w:t>85/23)</w:t>
      </w:r>
      <w:r>
        <w:rPr>
          <w:spacing w:val="13"/>
        </w:rPr>
        <w:t xml:space="preserve"> </w:t>
      </w:r>
      <w:r>
        <w:t>i članka 37. Statuta Općine Bilice («Službeni vjesnik Šibensko-kninske županije», broj 10/09, 5/13 i 8/13 i „Službenik glasnik Općine Bilice“, broj 3/18, 5/18, 1/21, 6/21 –pročišćeni tekst i 9/23) Općinski načelnik Op</w:t>
      </w:r>
      <w:bookmarkStart w:id="1" w:name="_Hlk104446348"/>
      <w:r>
        <w:t>ćine Bilice na 25. sjednici, od 11. lipnja 2024. g</w:t>
      </w:r>
      <w:bookmarkEnd w:id="1"/>
      <w:r>
        <w:t>odine, podnosi</w:t>
      </w:r>
    </w:p>
    <w:bookmarkEnd w:id="0"/>
    <w:p>
      <w:pPr>
        <w:autoSpaceDN w:val="0"/>
        <w:ind w:firstLine="708"/>
        <w:rPr>
          <w:b/>
        </w:rPr>
      </w:pPr>
    </w:p>
    <w:p>
      <w:pPr>
        <w:autoSpaceDN w:val="0"/>
        <w:ind w:firstLine="708"/>
        <w:rPr>
          <w:b/>
        </w:rPr>
      </w:pPr>
    </w:p>
    <w:p>
      <w:pPr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GODIŠNJI IZVJEŠTAJ</w:t>
      </w:r>
    </w:p>
    <w:p>
      <w:pPr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izvršenju Proračuna Općine Bilice za 2023. godinu</w:t>
      </w:r>
    </w:p>
    <w:p>
      <w:pPr>
        <w:autoSpaceDN w:val="0"/>
        <w:jc w:val="center"/>
        <w:rPr>
          <w:b/>
          <w:sz w:val="28"/>
          <w:szCs w:val="28"/>
        </w:rPr>
      </w:pPr>
    </w:p>
    <w:p>
      <w:pPr>
        <w:autoSpaceDN w:val="0"/>
        <w:jc w:val="center"/>
        <w:rPr>
          <w:b/>
        </w:rPr>
      </w:pPr>
      <w:r>
        <w:rPr>
          <w:b/>
        </w:rPr>
        <w:t>Članak 1.</w:t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Prihodi Općine Bilice za 2023. godinu planirani su u iznosu od 1.731.670,28 €, a ostvareni su u iznosu od 1.803.308,87 € odnosno 4,14% više od plana.</w:t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Rashodi Općine Bilice planirani su u iznosu od 1.786.100,00 €, a izvršeni su u iznosu od 1.485.283,08 € ili 83,16 % od plana.</w:t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Izdaci za financijsku imovinu i otplate zajmova planirani su u iznosu 69.600,00 €,a  izvršeni su u iznosu od 69.521,43 €, što je ostvarenje od 99,89% plana.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1843"/>
        <w:gridCol w:w="1839"/>
      </w:tblGrid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PLAN</w:t>
            </w:r>
          </w:p>
        </w:tc>
        <w:tc>
          <w:tcPr>
            <w:tcW w:w="1839" w:type="dxa"/>
          </w:tcPr>
          <w:p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IZVRŠENJE</w:t>
            </w:r>
          </w:p>
        </w:tc>
      </w:tr>
      <w:tr>
        <w:tc>
          <w:tcPr>
            <w:tcW w:w="5382" w:type="dxa"/>
          </w:tcPr>
          <w:p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7"/>
              <w:jc w:val="both"/>
              <w:rPr>
                <w:rFonts w:eastAsiaTheme="minorEastAsia"/>
                <w:b/>
                <w:lang w:val="en-US" w:bidi="en-US"/>
              </w:rPr>
            </w:pPr>
            <w:r>
              <w:rPr>
                <w:rFonts w:eastAsiaTheme="minorEastAsia"/>
                <w:b/>
                <w:lang w:val="en-US" w:bidi="en-US"/>
              </w:rPr>
              <w:t>RAČUN PRIHODA I RASHODA</w:t>
            </w:r>
          </w:p>
        </w:tc>
        <w:tc>
          <w:tcPr>
            <w:tcW w:w="1843" w:type="dxa"/>
          </w:tcPr>
          <w:p>
            <w:pPr>
              <w:jc w:val="both"/>
              <w:rPr>
                <w:rFonts w:eastAsiaTheme="minorEastAsia"/>
              </w:rPr>
            </w:pPr>
          </w:p>
        </w:tc>
        <w:tc>
          <w:tcPr>
            <w:tcW w:w="1839" w:type="dxa"/>
          </w:tcPr>
          <w:p>
            <w:pPr>
              <w:jc w:val="both"/>
              <w:rPr>
                <w:rFonts w:eastAsiaTheme="minorEastAsia"/>
              </w:rPr>
            </w:pP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Prihodi poslovanja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1.731.670,28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1.803.308,87</w:t>
            </w: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Prihodi od prodaje nefinancijske imovine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0,00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0,00</w:t>
            </w: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UKUPNI PRIHODI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1.731.670,28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1.803.308,87</w:t>
            </w: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Rashodi poslovanja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1.104.450,00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973.663,63</w:t>
            </w: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Rashodi za nabavu nefinancijske imovine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681.650,00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511.619,45</w:t>
            </w: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UKUPNI RASHODI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1.786.100,00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1.485.283,08</w:t>
            </w: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Razlika prihoda i rashoda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-54.429,72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318.025,79</w:t>
            </w:r>
          </w:p>
        </w:tc>
      </w:tr>
      <w:tr>
        <w:tc>
          <w:tcPr>
            <w:tcW w:w="5382" w:type="dxa"/>
          </w:tcPr>
          <w:p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7"/>
              <w:jc w:val="both"/>
              <w:rPr>
                <w:rFonts w:eastAsiaTheme="minorEastAsia"/>
                <w:b/>
                <w:lang w:val="en-US" w:bidi="en-US"/>
              </w:rPr>
            </w:pPr>
            <w:r>
              <w:rPr>
                <w:rFonts w:eastAsiaTheme="minorEastAsia"/>
                <w:b/>
                <w:lang w:val="en-US" w:bidi="en-US"/>
              </w:rPr>
              <w:t>RAČUN ZADUŽENJA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</w:p>
        </w:tc>
      </w:tr>
      <w:tr>
        <w:tc>
          <w:tcPr>
            <w:tcW w:w="5382" w:type="dxa"/>
          </w:tcPr>
          <w:p>
            <w:pPr>
              <w:widowControl w:val="0"/>
              <w:autoSpaceDE w:val="0"/>
              <w:autoSpaceDN w:val="0"/>
              <w:ind w:right="107"/>
              <w:jc w:val="both"/>
              <w:rPr>
                <w:rFonts w:eastAsiaTheme="minorEastAsia"/>
                <w:b/>
                <w:lang w:val="en-US" w:bidi="en-US"/>
              </w:rPr>
            </w:pPr>
            <w:r>
              <w:rPr>
                <w:rFonts w:eastAsiaTheme="minorEastAsia"/>
              </w:rPr>
              <w:t>Primici od financijske imovine i zaduživanja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0,00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0,00</w:t>
            </w:r>
          </w:p>
        </w:tc>
      </w:tr>
      <w:tr>
        <w:tc>
          <w:tcPr>
            <w:tcW w:w="5382" w:type="dxa"/>
          </w:tcPr>
          <w:p>
            <w:pPr>
              <w:widowControl w:val="0"/>
              <w:autoSpaceDE w:val="0"/>
              <w:autoSpaceDN w:val="0"/>
              <w:ind w:right="107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Izdaci za financijsku imovinu i otplatu zajmova</w:t>
            </w:r>
          </w:p>
          <w:p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NETO ZADUŽENJE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69.600,00</w:t>
            </w:r>
          </w:p>
          <w:p>
            <w:pPr>
              <w:tabs>
                <w:tab w:val="left" w:pos="1402"/>
              </w:tabs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-69.600,00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69.521,43</w:t>
            </w:r>
          </w:p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-69.521,43</w:t>
            </w: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Višak/Manjak iz prethodne godine koji će se pokriti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124.029,72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0,00</w:t>
            </w: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</w:rPr>
            </w:pP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</w:rPr>
            </w:pP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</w:rPr>
            </w:pPr>
          </w:p>
        </w:tc>
      </w:tr>
      <w:tr>
        <w:tc>
          <w:tcPr>
            <w:tcW w:w="5382" w:type="dxa"/>
          </w:tcPr>
          <w:p>
            <w:pPr>
              <w:jc w:val="both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Višak/Manjak+ neto zaduživanje+ korišteno u  prethodnim godinama = REZULTAT GODINE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0,00</w:t>
            </w:r>
          </w:p>
        </w:tc>
        <w:tc>
          <w:tcPr>
            <w:tcW w:w="1839" w:type="dxa"/>
          </w:tcPr>
          <w:p>
            <w:pPr>
              <w:jc w:val="right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248.504,36</w:t>
            </w:r>
          </w:p>
        </w:tc>
      </w:tr>
    </w:tbl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Ostvareni rezultat godine po Godišnjem obračunu Proračuna Općine Bilice za 2023. godinu iznosi 248.504,36 €.</w:t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Stanje novčanih sredstava Općine Bilice na dan 31.12.2023. godine iznosilo je 540.543,49 €. U istom izvještajnom razdoblju nisu davana jamstva.</w:t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Tijekom 2022. godine Općina Bilice se zadužila kod Erste&amp;Steiermarkische banke za financiranje izgradnje zgrade Općine, u iznosu od 530.891,23 € na rok od 7 godina. Isto kreditno zaduženje se počinje otplaćivati od 01. veljače 2023. godine. U 2023. godini otplaćeno je 69.521,43 € kredita.</w:t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2.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ab/>
      </w:r>
      <w:r>
        <w:rPr>
          <w:rFonts w:eastAsiaTheme="minorHAnsi"/>
          <w:lang w:eastAsia="en-US"/>
        </w:rPr>
        <w:t>Proračunska zaliha planirana je u iznosu od 2.700,00 €, a izvršena je u iznosu od 1.577,87 €.</w:t>
      </w:r>
    </w:p>
    <w:p>
      <w:pPr>
        <w:rPr>
          <w:rFonts w:eastAsiaTheme="minorHAnsi"/>
          <w:lang w:eastAsia="en-US"/>
        </w:rPr>
      </w:pPr>
    </w:p>
    <w:p>
      <w:pPr>
        <w:autoSpaceDN w:val="0"/>
        <w:jc w:val="center"/>
        <w:rPr>
          <w:b/>
        </w:rPr>
      </w:pPr>
      <w:r>
        <w:rPr>
          <w:b/>
        </w:rPr>
        <w:t>Članak 3.</w:t>
      </w:r>
    </w:p>
    <w:p>
      <w:pPr>
        <w:autoSpaceDN w:val="0"/>
        <w:jc w:val="both"/>
      </w:pPr>
      <w:r>
        <w:tab/>
        <w:t>Izvještaj o izvršenju Proračuna Općine Bilice – Opći dio po ekonomskoj i funkcijskoj klasifikaciji i izvorima financiranja, Račun financiranja po ekonomskoj klasifikaciji i izvorima financiranja te Posebni dio po programskoj i organizacijskoj klasifikaciji, te Obrazloženje ostvarenja prihoda i primitaka, rashoda i izdataka Proračuna Općine Bilice za razdoblje od 01.01.-31.12.2023. godine, nalaze se u privitku ovog Godišnjeg izvještaja i čine njegov sastavni dio.</w:t>
      </w:r>
    </w:p>
    <w:p>
      <w:pPr>
        <w:autoSpaceDN w:val="0"/>
        <w:jc w:val="both"/>
      </w:pPr>
    </w:p>
    <w:p>
      <w:pPr>
        <w:autoSpaceDN w:val="0"/>
        <w:jc w:val="both"/>
      </w:pPr>
    </w:p>
    <w:p>
      <w:pPr>
        <w:jc w:val="both"/>
        <w:rPr>
          <w:rFonts w:eastAsiaTheme="minorHAnsi"/>
          <w:lang w:eastAsia="en-US"/>
        </w:rPr>
      </w:pPr>
      <w:bookmarkStart w:id="2" w:name="_Hlk104445979"/>
      <w:r>
        <w:rPr>
          <w:rFonts w:eastAsiaTheme="minorHAnsi"/>
          <w:lang w:eastAsia="en-US"/>
        </w:rPr>
        <w:t>KLASA: 400-06/24-01/1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URBROJ: 2182-19-24-1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Bilice, 30. svibnja </w:t>
      </w:r>
      <w:r>
        <w:t>2024</w:t>
      </w:r>
      <w:r>
        <w:rPr>
          <w:rFonts w:eastAsiaTheme="minorHAnsi"/>
          <w:lang w:eastAsia="en-US"/>
        </w:rPr>
        <w:t>.</w:t>
      </w:r>
    </w:p>
    <w:bookmarkEnd w:id="2"/>
    <w:p>
      <w:pPr>
        <w:jc w:val="center"/>
        <w:rPr>
          <w:rFonts w:eastAsiaTheme="minorHAnsi"/>
          <w:b/>
          <w:lang w:eastAsia="en-US"/>
        </w:rPr>
      </w:pPr>
    </w:p>
    <w:p>
      <w:pPr>
        <w:autoSpaceDN w:val="0"/>
        <w:rPr>
          <w:b/>
          <w:bCs/>
        </w:rPr>
      </w:pPr>
    </w:p>
    <w:p>
      <w:pPr>
        <w:autoSpaceDN w:val="0"/>
        <w:ind w:left="6372" w:firstLine="708"/>
        <w:rPr>
          <w:b/>
          <w:bCs/>
        </w:rPr>
      </w:pPr>
      <w:r>
        <w:rPr>
          <w:b/>
          <w:bCs/>
        </w:rPr>
        <w:t xml:space="preserve"> NAČELNIK</w:t>
      </w:r>
    </w:p>
    <w:p>
      <w:pPr>
        <w:autoSpaceDN w:val="0"/>
      </w:pPr>
      <w:r>
        <w:t xml:space="preserve">                                                                                                                     Josip Ćaleta Car</w:t>
      </w: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jc w:val="both"/>
      </w:pPr>
      <w:bookmarkStart w:id="3" w:name="_GoBack"/>
      <w:bookmarkEnd w:id="3"/>
    </w:p>
    <w:sectPr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F56E5"/>
    <w:multiLevelType w:val="hybridMultilevel"/>
    <w:tmpl w:val="415860BE"/>
    <w:lvl w:ilvl="0" w:tplc="8A1842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771E1"/>
    <w:multiLevelType w:val="hybridMultilevel"/>
    <w:tmpl w:val="72F0D6A6"/>
    <w:lvl w:ilvl="0" w:tplc="94B4500C">
      <w:start w:val="93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134BE-C268-4892-A47B-B42A7FF2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Microsoftov račun</cp:lastModifiedBy>
  <cp:revision>20</cp:revision>
  <cp:lastPrinted>2023-05-26T08:35:00Z</cp:lastPrinted>
  <dcterms:created xsi:type="dcterms:W3CDTF">2022-05-26T08:34:00Z</dcterms:created>
  <dcterms:modified xsi:type="dcterms:W3CDTF">2024-06-26T05:13:00Z</dcterms:modified>
</cp:coreProperties>
</file>