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46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678"/>
        <w:gridCol w:w="2126"/>
      </w:tblGrid>
      <w:tr>
        <w:trPr>
          <w:trHeight w:val="719"/>
        </w:trPr>
        <w:tc>
          <w:tcPr>
            <w:tcW w:w="9747" w:type="dxa"/>
            <w:gridSpan w:val="3"/>
            <w:shd w:val="clear" w:color="auto" w:fill="E2EFD9" w:themeFill="accent6" w:themeFillTint="33"/>
            <w:vAlign w:val="center"/>
          </w:tcPr>
          <w:p>
            <w:pPr>
              <w:spacing w:before="160" w:after="200" w:line="240" w:lineRule="auto"/>
              <w:jc w:val="center"/>
              <w:rPr>
                <w:rFonts w:eastAsia="Simsun (Founder Extended)" w:cs="Arial"/>
                <w:lang w:eastAsia="zh-CN"/>
              </w:rPr>
            </w:pPr>
            <w:r>
              <w:rPr>
                <w:rFonts w:ascii="Segoe UI" w:eastAsia="Simsun (Founder Extended)" w:hAnsi="Segoe UI" w:cs="Segoe UI"/>
                <w:b/>
                <w:lang w:eastAsia="zh-CN"/>
              </w:rPr>
              <w:t>OBRAZAC  SUDJELOVANJA U SAVJETOVANJU O NACRTU ZAKONA, DRUGOG PROPISA ILI AKTA</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Naziv nacrta zakona, drugog propisa ili akta</w:t>
            </w:r>
          </w:p>
        </w:tc>
        <w:tc>
          <w:tcPr>
            <w:tcW w:w="6804" w:type="dxa"/>
            <w:gridSpan w:val="2"/>
            <w:vAlign w:val="center"/>
          </w:tcPr>
          <w:p>
            <w:pPr>
              <w:keepNext/>
              <w:spacing w:after="0" w:line="240" w:lineRule="auto"/>
              <w:jc w:val="center"/>
              <w:outlineLvl w:val="1"/>
              <w:rPr>
                <w:rFonts w:eastAsia="Simsun (Founder Extended)" w:cs="Segoe UI"/>
                <w:b/>
                <w:bCs/>
                <w:lang w:val="en-AU" w:eastAsia="zh-CN"/>
              </w:rPr>
            </w:pPr>
            <w:proofErr w:type="spellStart"/>
            <w:r>
              <w:rPr>
                <w:rFonts w:eastAsia="Simsun (Founder Extended)" w:cs="Segoe UI"/>
                <w:b/>
                <w:bCs/>
                <w:lang w:val="en-AU" w:eastAsia="zh-CN"/>
              </w:rPr>
              <w:t>Prijedlog</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Odluke</w:t>
            </w:r>
            <w:proofErr w:type="spellEnd"/>
            <w:r>
              <w:rPr>
                <w:rFonts w:eastAsia="Simsun (Founder Extended)" w:cs="Segoe UI"/>
                <w:b/>
                <w:bCs/>
                <w:lang w:val="en-AU" w:eastAsia="zh-CN"/>
              </w:rPr>
              <w:t xml:space="preserve"> o </w:t>
            </w:r>
            <w:proofErr w:type="spellStart"/>
            <w:r>
              <w:rPr>
                <w:rFonts w:eastAsia="Simsun (Founder Extended)" w:cs="Segoe UI"/>
                <w:b/>
                <w:bCs/>
                <w:lang w:val="en-AU" w:eastAsia="zh-CN"/>
              </w:rPr>
              <w:t>izmjeni</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i</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dopuni</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Odluke</w:t>
            </w:r>
            <w:proofErr w:type="spellEnd"/>
            <w:r>
              <w:rPr>
                <w:rFonts w:eastAsia="Simsun (Founder Extended)" w:cs="Segoe UI"/>
                <w:b/>
                <w:bCs/>
                <w:lang w:val="en-AU" w:eastAsia="zh-CN"/>
              </w:rPr>
              <w:t xml:space="preserve"> o </w:t>
            </w:r>
            <w:proofErr w:type="spellStart"/>
            <w:r>
              <w:rPr>
                <w:rFonts w:eastAsia="Simsun (Founder Extended)" w:cs="Segoe UI"/>
                <w:b/>
                <w:bCs/>
                <w:lang w:val="en-AU" w:eastAsia="zh-CN"/>
              </w:rPr>
              <w:t>načinu</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pružanja</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javne</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usluge</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sakupljanja</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komunalnog</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otpada</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na</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području</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Općine</w:t>
            </w:r>
            <w:proofErr w:type="spellEnd"/>
            <w:r>
              <w:rPr>
                <w:rFonts w:eastAsia="Simsun (Founder Extended)" w:cs="Segoe UI"/>
                <w:b/>
                <w:bCs/>
                <w:lang w:val="en-AU" w:eastAsia="zh-CN"/>
              </w:rPr>
              <w:t xml:space="preserve"> </w:t>
            </w:r>
            <w:proofErr w:type="spellStart"/>
            <w:r>
              <w:rPr>
                <w:rFonts w:eastAsia="Simsun (Founder Extended)" w:cs="Segoe UI"/>
                <w:b/>
                <w:bCs/>
                <w:lang w:val="en-AU" w:eastAsia="zh-CN"/>
              </w:rPr>
              <w:t>Bilice</w:t>
            </w:r>
            <w:proofErr w:type="spellEnd"/>
            <w:r>
              <w:rPr>
                <w:rFonts w:eastAsia="Simsun (Founder Extended)" w:cs="Segoe UI"/>
                <w:b/>
                <w:bCs/>
                <w:lang w:val="en-AU" w:eastAsia="zh-CN"/>
              </w:rPr>
              <w:t xml:space="preserve"> </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Naziv tijela nadležnog za izradu nacrta</w:t>
            </w:r>
          </w:p>
        </w:tc>
        <w:tc>
          <w:tcPr>
            <w:tcW w:w="6804" w:type="dxa"/>
            <w:gridSpan w:val="2"/>
            <w:vAlign w:val="center"/>
          </w:tcPr>
          <w:p>
            <w:pPr>
              <w:spacing w:before="120" w:after="120" w:line="240" w:lineRule="auto"/>
              <w:jc w:val="center"/>
              <w:rPr>
                <w:rFonts w:eastAsia="Simsun (Founder Extended)" w:cs="Segoe UI"/>
                <w:b/>
                <w:lang w:eastAsia="zh-CN"/>
              </w:rPr>
            </w:pPr>
            <w:r>
              <w:rPr>
                <w:rFonts w:eastAsia="Simsun (Founder Extended)" w:cs="Segoe UI"/>
                <w:b/>
                <w:lang w:eastAsia="zh-CN"/>
              </w:rPr>
              <w:t>OPĆINA BILICE, Jedinstveni upravni odjel</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 xml:space="preserve">Razdoblje savjetovanja </w:t>
            </w:r>
            <w:r>
              <w:rPr>
                <w:rFonts w:ascii="Segoe UI" w:eastAsia="Simsun (Founder Extended)" w:hAnsi="Segoe UI" w:cs="Segoe UI"/>
                <w:i/>
                <w:sz w:val="20"/>
                <w:szCs w:val="20"/>
                <w:lang w:eastAsia="zh-CN"/>
              </w:rPr>
              <w:t>(početak i završetak)</w:t>
            </w:r>
          </w:p>
        </w:tc>
        <w:tc>
          <w:tcPr>
            <w:tcW w:w="6804" w:type="dxa"/>
            <w:gridSpan w:val="2"/>
            <w:vAlign w:val="center"/>
          </w:tcPr>
          <w:p>
            <w:pPr>
              <w:spacing w:before="120" w:after="120" w:line="240" w:lineRule="auto"/>
              <w:jc w:val="center"/>
              <w:rPr>
                <w:rFonts w:eastAsia="Simsun (Founder Extended)" w:cs="Segoe UI"/>
                <w:b/>
                <w:lang w:eastAsia="zh-CN"/>
              </w:rPr>
            </w:pPr>
            <w:r>
              <w:rPr>
                <w:rFonts w:eastAsia="Simsun (Founder Extended)" w:cs="Segoe UI"/>
                <w:b/>
                <w:lang w:eastAsia="zh-CN"/>
              </w:rPr>
              <w:t>31</w:t>
            </w:r>
            <w:r>
              <w:rPr>
                <w:rFonts w:eastAsia="Simsun (Founder Extended)" w:cs="Segoe UI"/>
                <w:b/>
                <w:lang w:eastAsia="zh-CN"/>
              </w:rPr>
              <w:t xml:space="preserve">. </w:t>
            </w:r>
            <w:r>
              <w:rPr>
                <w:rFonts w:eastAsia="Simsun (Founder Extended)" w:cs="Segoe UI"/>
                <w:b/>
                <w:lang w:eastAsia="zh-CN"/>
              </w:rPr>
              <w:t>listopada</w:t>
            </w:r>
            <w:r>
              <w:rPr>
                <w:rFonts w:eastAsia="Simsun (Founder Extended)" w:cs="Segoe UI"/>
                <w:b/>
                <w:lang w:eastAsia="zh-CN"/>
              </w:rPr>
              <w:t xml:space="preserve"> 2025. – 30. </w:t>
            </w:r>
            <w:r>
              <w:rPr>
                <w:rFonts w:eastAsia="Simsun (Founder Extended)" w:cs="Segoe UI"/>
                <w:b/>
                <w:lang w:eastAsia="zh-CN"/>
              </w:rPr>
              <w:t>studenog</w:t>
            </w:r>
            <w:r>
              <w:rPr>
                <w:rFonts w:eastAsia="Simsun (Founder Extended)" w:cs="Segoe UI"/>
                <w:b/>
                <w:lang w:eastAsia="zh-CN"/>
              </w:rPr>
              <w:t xml:space="preserve"> 2025.</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Obrazloženje razloga i ciljeva koji se žele postići donošenjem akta odnosno drugog dokumenta</w:t>
            </w:r>
          </w:p>
        </w:tc>
        <w:tc>
          <w:tcPr>
            <w:tcW w:w="6804" w:type="dxa"/>
            <w:gridSpan w:val="2"/>
            <w:vAlign w:val="center"/>
          </w:tcPr>
          <w:p>
            <w:pPr>
              <w:pStyle w:val="Bezproreda"/>
              <w:rPr>
                <w:rFonts w:asciiTheme="majorHAnsi" w:hAnsiTheme="majorHAnsi" w:cstheme="majorHAnsi"/>
                <w:sz w:val="24"/>
                <w:szCs w:val="24"/>
              </w:rPr>
            </w:pPr>
            <w:r>
              <w:rPr>
                <w:rFonts w:asciiTheme="majorHAnsi" w:hAnsiTheme="majorHAnsi" w:cstheme="majorHAnsi"/>
                <w:sz w:val="24"/>
                <w:szCs w:val="24"/>
              </w:rPr>
              <w:t xml:space="preserve">Prijedlogom Odluke o izmjenama Odluke o načinu pružanja javne usluge sakupljanja komunalnog otpada na području Općine </w:t>
            </w:r>
            <w:proofErr w:type="spellStart"/>
            <w:r>
              <w:rPr>
                <w:rFonts w:asciiTheme="majorHAnsi" w:hAnsiTheme="majorHAnsi" w:cstheme="majorHAnsi"/>
                <w:sz w:val="24"/>
                <w:szCs w:val="24"/>
              </w:rPr>
              <w:t>Bilice</w:t>
            </w:r>
            <w:proofErr w:type="spellEnd"/>
            <w:r>
              <w:rPr>
                <w:rFonts w:asciiTheme="majorHAnsi" w:hAnsiTheme="majorHAnsi" w:cstheme="majorHAnsi"/>
                <w:sz w:val="24"/>
                <w:szCs w:val="24"/>
              </w:rPr>
              <w:t xml:space="preserve"> predlaže se izmjena cijene obvezne minimalne javne usluge za korisnike kategorije kućanstvo i korisnike kategorije koji nisu kućanstvo.</w:t>
            </w:r>
          </w:p>
          <w:p>
            <w:pPr>
              <w:pStyle w:val="Bezproreda"/>
              <w:rPr>
                <w:rFonts w:asciiTheme="majorHAnsi" w:hAnsiTheme="majorHAnsi" w:cstheme="majorHAnsi"/>
                <w:sz w:val="24"/>
                <w:szCs w:val="24"/>
              </w:rPr>
            </w:pPr>
            <w:r>
              <w:rPr>
                <w:rFonts w:asciiTheme="majorHAnsi" w:hAnsiTheme="majorHAnsi" w:cstheme="majorHAnsi"/>
                <w:sz w:val="24"/>
                <w:szCs w:val="24"/>
              </w:rPr>
              <w:t>Povećanje cijene obvezne minimalne javne usluge potrebno je radi povećanja troškova poslovanja davatelja javne usluge ZELENI GRAD ŠIBENIK d.o.o. što se posebno odnosi na troškove goriva i energenata, troškove komunalnih vozila i opreme te režijskih troškova. Također, plaće zaposlenika u proteklom periodu nisu pratile rast životnih troškova i inflacije.</w:t>
            </w:r>
          </w:p>
          <w:p>
            <w:pPr>
              <w:spacing w:after="0" w:line="240" w:lineRule="auto"/>
              <w:jc w:val="both"/>
              <w:rPr>
                <w:rFonts w:asciiTheme="majorHAnsi" w:hAnsiTheme="majorHAnsi" w:cstheme="majorHAnsi"/>
              </w:rPr>
            </w:pPr>
            <w:r>
              <w:rPr>
                <w:rFonts w:asciiTheme="majorHAnsi" w:hAnsiTheme="majorHAnsi" w:cstheme="majorHAnsi"/>
                <w:sz w:val="24"/>
                <w:szCs w:val="24"/>
              </w:rPr>
              <w:t>Konkretno, prema podacima davatelja javne usluge ZELENI GRAD ŠIBENIK d.o.o. u proteklom razdoblju usporedbom trenutnog poslovanja s poslovanjem 2024. godine zabilježen je porast troškova poslovanja u službi sakupljanja, odvoza i održavanja za oko 14 %, porast materijalnih troškova iznosi 11 %, troškova usluga 8%, te ostalih troškova poslovanja za oko 12%. Također, više od polovice djelatnika trenutno ima plaću manju od minimalne plaće propisane od 01. siječnja 2026. godine. Zbog dugotrajnog održavanja plaća na razini minimalne, potrebno je prilagoditi osnovicu plaće kako bi djelatnici ostvarili zakonski propisanu minimalnu plaću. Nakon toga, potrebno je dodatno povećati plaće kako bi se zadržali postojeći djelatnici, motivirali za rad te zadržala kvaliteta usluge. Zbog financijskih razloga unazad dvije godine broj djelatnika je sa 194 smanjen na 168 kako bi se optimizirali troškovi i osigurala stabilnost poslovanja. Prosječna neto plaća u Društvu iznosi 1.224 eura što je za 18% manje od prosječne plaće u Republici Hrvatskoj, te bi i uz povećanje osnovice plaće za 30% i dalje većina djelatnika imala primanja niža od državnog prosjeka. Stoga predloženo povećanje cijena predstavlja nužnu mjeru za održivost sustava</w:t>
            </w:r>
            <w:r>
              <w:rPr>
                <w:rFonts w:asciiTheme="majorHAnsi" w:hAnsiTheme="majorHAnsi" w:cstheme="majorHAnsi"/>
                <w:sz w:val="24"/>
                <w:szCs w:val="24"/>
              </w:rPr>
              <w:t xml:space="preserve"> i zadržavanje postojećeg kadra</w:t>
            </w:r>
            <w:r>
              <w:rPr>
                <w:rFonts w:asciiTheme="majorHAnsi" w:hAnsiTheme="majorHAnsi" w:cstheme="majorHAnsi"/>
              </w:rPr>
              <w:t>, te provesti javno savjetovanje u skladu s propisom kojim se uređuje pravo na pristup informacijama u trajanju od najmanje 30 dana. Po p</w:t>
            </w:r>
            <w:r>
              <w:rPr>
                <w:rFonts w:asciiTheme="majorHAnsi" w:hAnsiTheme="majorHAnsi" w:cstheme="majorHAnsi"/>
              </w:rPr>
              <w:t>rovedbi javnog savjetovanja Odluku</w:t>
            </w:r>
            <w:r>
              <w:rPr>
                <w:rFonts w:asciiTheme="majorHAnsi" w:hAnsiTheme="majorHAnsi" w:cstheme="majorHAnsi"/>
              </w:rPr>
              <w:t xml:space="preserve"> donosi predstavničko tijelo.</w:t>
            </w:r>
          </w:p>
          <w:p>
            <w:pPr>
              <w:spacing w:after="0" w:line="240" w:lineRule="auto"/>
              <w:jc w:val="both"/>
              <w:rPr>
                <w:rFonts w:asciiTheme="majorHAnsi" w:hAnsiTheme="majorHAnsi" w:cstheme="majorHAnsi"/>
              </w:rPr>
            </w:pP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Ime/naziv sudionika/</w:t>
            </w:r>
            <w:proofErr w:type="spellStart"/>
            <w:r>
              <w:rPr>
                <w:rFonts w:ascii="Segoe UI" w:eastAsia="Simsun (Founder Extended)" w:hAnsi="Segoe UI" w:cs="Segoe UI"/>
                <w:sz w:val="20"/>
                <w:szCs w:val="20"/>
                <w:lang w:eastAsia="zh-CN"/>
              </w:rPr>
              <w:t>ce</w:t>
            </w:r>
            <w:proofErr w:type="spellEnd"/>
            <w:r>
              <w:rPr>
                <w:rFonts w:ascii="Segoe UI" w:eastAsia="Simsun (Founder Extended)" w:hAnsi="Segoe UI" w:cs="Segoe UI"/>
                <w:sz w:val="20"/>
                <w:szCs w:val="20"/>
                <w:lang w:eastAsia="zh-CN"/>
              </w:rPr>
              <w:t xml:space="preserve"> savjetovanja (pojedinac, udruga, ustanova i sl.) koji/a daje svoje mišljenje i </w:t>
            </w:r>
            <w:r>
              <w:rPr>
                <w:rFonts w:ascii="Segoe UI" w:eastAsia="Simsun (Founder Extended)" w:hAnsi="Segoe UI" w:cs="Segoe UI"/>
                <w:sz w:val="20"/>
                <w:szCs w:val="20"/>
                <w:lang w:eastAsia="zh-CN"/>
              </w:rPr>
              <w:lastRenderedPageBreak/>
              <w:t>primjedbe na nacrt zakona, drugog propisa ili akta</w:t>
            </w:r>
          </w:p>
        </w:tc>
        <w:tc>
          <w:tcPr>
            <w:tcW w:w="6804" w:type="dxa"/>
            <w:gridSpan w:val="2"/>
          </w:tcPr>
          <w:p>
            <w:pPr>
              <w:spacing w:before="120" w:after="120" w:line="240" w:lineRule="auto"/>
              <w:rPr>
                <w:rFonts w:asciiTheme="majorHAnsi" w:eastAsia="Simsun (Founder Extended)" w:hAnsiTheme="majorHAnsi" w:cstheme="majorHAnsi"/>
                <w:sz w:val="20"/>
                <w:szCs w:val="20"/>
                <w:lang w:eastAsia="zh-CN"/>
              </w:rPr>
            </w:pPr>
          </w:p>
        </w:tc>
      </w:tr>
      <w:tr>
        <w:trPr>
          <w:trHeight w:val="955"/>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Tematsko područje i brojnost korisnika koje predstavljate, odnosno interes koji zastupate</w:t>
            </w:r>
          </w:p>
        </w:tc>
        <w:tc>
          <w:tcPr>
            <w:tcW w:w="6804" w:type="dxa"/>
            <w:gridSpan w:val="2"/>
            <w:shd w:val="clear" w:color="auto" w:fill="auto"/>
          </w:tcPr>
          <w:p>
            <w:pPr>
              <w:spacing w:before="120" w:after="120" w:line="240" w:lineRule="auto"/>
              <w:rPr>
                <w:rFonts w:ascii="Segoe UI" w:eastAsia="Simsun (Founder Extended)" w:hAnsi="Segoe UI" w:cs="Segoe UI"/>
                <w:sz w:val="20"/>
                <w:szCs w:val="20"/>
                <w:lang w:eastAsia="zh-CN"/>
              </w:rPr>
            </w:pPr>
          </w:p>
        </w:tc>
      </w:tr>
      <w:tr>
        <w:trPr>
          <w:trHeight w:val="689"/>
        </w:trPr>
        <w:tc>
          <w:tcPr>
            <w:tcW w:w="2943" w:type="dxa"/>
            <w:shd w:val="clear" w:color="auto" w:fill="F2F2F2" w:themeFill="background1" w:themeFillShade="F2"/>
            <w:vAlign w:val="center"/>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Načelni komentari na predloženi nacrt</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rPr>
          <w:trHeight w:val="900"/>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Primjedbe, komentari i prijedlozi na pojedine članke nacrta zakona, drugog propisa ili dijelove akta</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rPr>
          <w:trHeight w:val="1115"/>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Ime i prezime osobe/a koja je sastavljala primjedbe i komentare ili osobe ovlaštene za zastupanje udruge, ustanove i sl.</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rPr>
          <w:trHeight w:val="480"/>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Telefon/Mobitel</w:t>
            </w:r>
          </w:p>
        </w:tc>
        <w:tc>
          <w:tcPr>
            <w:tcW w:w="6804" w:type="dxa"/>
            <w:gridSpan w:val="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 xml:space="preserve"> </w:t>
            </w:r>
          </w:p>
        </w:tc>
      </w:tr>
      <w:tr>
        <w:trPr>
          <w:trHeight w:val="480"/>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Email</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Datum dostavljanja obrasca</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c>
          <w:tcPr>
            <w:tcW w:w="7621" w:type="dxa"/>
            <w:gridSpan w:val="2"/>
            <w:tcBorders>
              <w:bottom w:val="single" w:sz="4" w:space="0" w:color="auto"/>
            </w:tcBorders>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Jeste li suglasni da se ovaj obrazac, s imenom/nazivom sudionika/</w:t>
            </w:r>
            <w:proofErr w:type="spellStart"/>
            <w:r>
              <w:rPr>
                <w:rFonts w:ascii="Segoe UI" w:eastAsia="Simsun (Founder Extended)" w:hAnsi="Segoe UI" w:cs="Segoe UI"/>
                <w:sz w:val="20"/>
                <w:szCs w:val="20"/>
                <w:lang w:eastAsia="zh-CN"/>
              </w:rPr>
              <w:t>ce</w:t>
            </w:r>
            <w:proofErr w:type="spellEnd"/>
            <w:r>
              <w:rPr>
                <w:rFonts w:ascii="Segoe UI" w:eastAsia="Simsun (Founder Extended)" w:hAnsi="Segoe UI" w:cs="Segoe UI"/>
                <w:sz w:val="20"/>
                <w:szCs w:val="20"/>
                <w:lang w:eastAsia="zh-CN"/>
              </w:rPr>
              <w:t xml:space="preserve"> savjetovanja, objavi na internetskoj stranici nadležnog tijela? </w:t>
            </w:r>
            <w:r>
              <w:rPr>
                <w:rFonts w:ascii="Segoe UI" w:eastAsia="Simsun (Founder Extended)" w:hAnsi="Segoe UI" w:cs="Segoe UI"/>
                <w:sz w:val="20"/>
                <w:szCs w:val="20"/>
                <w:vertAlign w:val="superscript"/>
                <w:lang w:eastAsia="zh-CN"/>
              </w:rPr>
              <w:endnoteReference w:id="1"/>
            </w:r>
            <w:r>
              <w:rPr>
                <w:rFonts w:ascii="Segoe UI" w:eastAsia="Simsun (Founder Extended)" w:hAnsi="Segoe UI" w:cs="Segoe UI"/>
                <w:sz w:val="20"/>
                <w:szCs w:val="20"/>
                <w:lang w:eastAsia="zh-CN"/>
              </w:rPr>
              <w:t xml:space="preserve"> (DA - NE)</w:t>
            </w:r>
          </w:p>
        </w:tc>
        <w:tc>
          <w:tcPr>
            <w:tcW w:w="2126" w:type="dxa"/>
            <w:tcBorders>
              <w:bottom w:val="single" w:sz="4" w:space="0" w:color="auto"/>
            </w:tcBorders>
            <w:vAlign w:val="center"/>
          </w:tcPr>
          <w:p>
            <w:pPr>
              <w:spacing w:before="120" w:after="120" w:line="240" w:lineRule="auto"/>
              <w:jc w:val="center"/>
              <w:rPr>
                <w:rFonts w:ascii="Segoe UI" w:eastAsia="Simsun (Founder Extended)" w:hAnsi="Segoe UI" w:cs="Segoe UI"/>
                <w:sz w:val="20"/>
                <w:szCs w:val="20"/>
                <w:lang w:eastAsia="zh-CN"/>
              </w:rPr>
            </w:pPr>
          </w:p>
        </w:tc>
      </w:tr>
      <w:tr>
        <w:trPr>
          <w:cantSplit/>
        </w:trPr>
        <w:tc>
          <w:tcPr>
            <w:tcW w:w="9747" w:type="dxa"/>
            <w:gridSpan w:val="3"/>
            <w:tcBorders>
              <w:top w:val="nil"/>
              <w:left w:val="nil"/>
              <w:bottom w:val="nil"/>
              <w:right w:val="nil"/>
            </w:tcBorders>
            <w:shd w:val="clear" w:color="auto" w:fill="auto"/>
            <w:vAlign w:val="center"/>
          </w:tcPr>
          <w:p>
            <w:pPr>
              <w:spacing w:before="160" w:line="192" w:lineRule="auto"/>
              <w:jc w:val="center"/>
              <w:rPr>
                <w:rFonts w:ascii="Segoe UI" w:hAnsi="Segoe UI" w:cs="Segoe UI"/>
                <w:sz w:val="20"/>
                <w:szCs w:val="20"/>
              </w:rPr>
            </w:pPr>
            <w:r>
              <w:rPr>
                <w:rFonts w:ascii="Segoe UI" w:hAnsi="Segoe UI" w:cs="Segoe UI"/>
                <w:sz w:val="20"/>
                <w:szCs w:val="20"/>
              </w:rPr>
              <w:t xml:space="preserve">Popunjeni obrazac dostaviti na adresu: </w:t>
            </w:r>
            <w:r>
              <w:rPr>
                <w:rFonts w:ascii="Segoe UI" w:hAnsi="Segoe UI" w:cs="Segoe UI"/>
                <w:b/>
                <w:sz w:val="20"/>
                <w:szCs w:val="20"/>
              </w:rPr>
              <w:t xml:space="preserve">Općina </w:t>
            </w:r>
            <w:proofErr w:type="spellStart"/>
            <w:r>
              <w:rPr>
                <w:rFonts w:ascii="Segoe UI" w:hAnsi="Segoe UI" w:cs="Segoe UI"/>
                <w:b/>
                <w:sz w:val="20"/>
                <w:szCs w:val="20"/>
              </w:rPr>
              <w:t>Bilice</w:t>
            </w:r>
            <w:proofErr w:type="spellEnd"/>
            <w:r>
              <w:rPr>
                <w:rFonts w:ascii="Segoe UI" w:hAnsi="Segoe UI" w:cs="Segoe UI"/>
                <w:b/>
                <w:sz w:val="20"/>
                <w:szCs w:val="20"/>
              </w:rPr>
              <w:t xml:space="preserve">, </w:t>
            </w:r>
            <w:proofErr w:type="spellStart"/>
            <w:r>
              <w:rPr>
                <w:rFonts w:ascii="Segoe UI" w:hAnsi="Segoe UI" w:cs="Segoe UI"/>
                <w:b/>
                <w:sz w:val="20"/>
                <w:szCs w:val="20"/>
              </w:rPr>
              <w:t>Bosuć</w:t>
            </w:r>
            <w:proofErr w:type="spellEnd"/>
            <w:r>
              <w:rPr>
                <w:rFonts w:ascii="Segoe UI" w:hAnsi="Segoe UI" w:cs="Segoe UI"/>
                <w:b/>
                <w:sz w:val="20"/>
                <w:szCs w:val="20"/>
              </w:rPr>
              <w:t xml:space="preserve"> 2A, 22 000 Šibenik</w:t>
            </w:r>
          </w:p>
          <w:p>
            <w:pPr>
              <w:spacing w:before="160" w:line="192" w:lineRule="auto"/>
              <w:jc w:val="center"/>
              <w:rPr>
                <w:rFonts w:ascii="Segoe UI" w:hAnsi="Segoe UI" w:cs="Segoe UI"/>
                <w:sz w:val="20"/>
                <w:szCs w:val="20"/>
              </w:rPr>
            </w:pPr>
            <w:r>
              <w:rPr>
                <w:rFonts w:ascii="Segoe UI" w:hAnsi="Segoe UI" w:cs="Segoe UI"/>
                <w:sz w:val="20"/>
                <w:szCs w:val="20"/>
              </w:rPr>
              <w:t xml:space="preserve">ili na e-mail </w:t>
            </w:r>
            <w:hyperlink r:id="rId6" w:history="1">
              <w:r>
                <w:rPr>
                  <w:rFonts w:ascii="Segoe UI" w:hAnsi="Segoe UI" w:cs="Segoe UI"/>
                  <w:b/>
                  <w:bCs/>
                  <w:color w:val="0563C1" w:themeColor="hyperlink"/>
                  <w:sz w:val="20"/>
                  <w:szCs w:val="20"/>
                  <w:u w:val="single"/>
                </w:rPr>
                <w:t>info@opcina-bilice.hr</w:t>
              </w:r>
            </w:hyperlink>
            <w:r>
              <w:rPr>
                <w:rFonts w:ascii="Segoe UI" w:hAnsi="Segoe UI" w:cs="Segoe UI"/>
                <w:b/>
                <w:bCs/>
                <w:sz w:val="20"/>
                <w:szCs w:val="20"/>
              </w:rPr>
              <w:t xml:space="preserve"> </w:t>
            </w:r>
          </w:p>
          <w:p>
            <w:pPr>
              <w:spacing w:before="160" w:line="192" w:lineRule="auto"/>
              <w:jc w:val="center"/>
              <w:rPr>
                <w:rFonts w:ascii="Segoe UI" w:hAnsi="Segoe UI" w:cs="Segoe UI"/>
                <w:b/>
                <w:sz w:val="20"/>
                <w:szCs w:val="20"/>
              </w:rPr>
            </w:pPr>
            <w:r>
              <w:rPr>
                <w:rFonts w:ascii="Segoe UI" w:hAnsi="Segoe UI" w:cs="Segoe UI"/>
                <w:b/>
                <w:sz w:val="20"/>
                <w:szCs w:val="20"/>
              </w:rPr>
              <w:t xml:space="preserve">zaključno s </w:t>
            </w:r>
            <w:r>
              <w:rPr>
                <w:rFonts w:ascii="Segoe UI" w:hAnsi="Segoe UI" w:cs="Segoe UI"/>
                <w:b/>
                <w:sz w:val="20"/>
                <w:szCs w:val="20"/>
              </w:rPr>
              <w:t>datumom 30</w:t>
            </w:r>
            <w:r>
              <w:rPr>
                <w:rFonts w:ascii="Segoe UI" w:hAnsi="Segoe UI" w:cs="Segoe UI"/>
                <w:b/>
                <w:sz w:val="20"/>
                <w:szCs w:val="20"/>
              </w:rPr>
              <w:t xml:space="preserve">. </w:t>
            </w:r>
            <w:r>
              <w:rPr>
                <w:rFonts w:ascii="Segoe UI" w:hAnsi="Segoe UI" w:cs="Segoe UI"/>
                <w:b/>
                <w:sz w:val="20"/>
                <w:szCs w:val="20"/>
              </w:rPr>
              <w:t>studenog</w:t>
            </w:r>
            <w:r>
              <w:rPr>
                <w:rFonts w:ascii="Segoe UI" w:hAnsi="Segoe UI" w:cs="Segoe UI"/>
                <w:b/>
                <w:sz w:val="20"/>
                <w:szCs w:val="20"/>
              </w:rPr>
              <w:t xml:space="preserve"> 2025.</w:t>
            </w:r>
          </w:p>
        </w:tc>
      </w:tr>
    </w:tbl>
    <w:p>
      <w:bookmarkStart w:id="0" w:name="_GoBack"/>
      <w:bookmarkEnd w:id="0"/>
    </w:p>
    <w:sect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 w:id="1">
    <w:p>
      <w:pPr>
        <w:pStyle w:val="Tekstkrajnjebiljeke"/>
        <w:jc w:val="both"/>
        <w:rPr>
          <w:rFonts w:cs="Arial"/>
          <w:sz w:val="18"/>
          <w:szCs w:val="18"/>
        </w:rPr>
      </w:pPr>
      <w:r>
        <w:rPr>
          <w:rStyle w:val="Referencakrajnjebiljeke"/>
          <w:sz w:val="18"/>
          <w:szCs w:val="18"/>
        </w:rPr>
        <w:endnoteRef/>
      </w:r>
      <w:r>
        <w:rPr>
          <w:rFonts w:cs="Arial"/>
          <w:sz w:val="18"/>
          <w:szCs w:val="18"/>
        </w:rPr>
        <w:t xml:space="preserve">U skladu s Uredbom (EU) 2016/679 Europskog parlamenta i Vijeća od 27. travnja 2016. o zaštiti pojedinaca u svezi s obradom osobnih podataka i o slobodnom kretanju takvih podataka te o stavljanju izvan snage Direktive 95/46/EZ (Opća uredba o zaštiti podataka) SL EU L119, osobni podaci neće se koristiti u druge svrhe, osim u povijesne, statističke ili znanstvene svrhe, uz uvjet poduzimanja odgovarajućih zaštitnih mjera.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Founder Extended)">
    <w:altName w:val="Arial Unicode MS"/>
    <w:charset w:val="86"/>
    <w:family w:val="script"/>
    <w:pitch w:val="fixed"/>
    <w:sig w:usb0="00000000" w:usb1="080E0000" w:usb2="00000010" w:usb3="00000000" w:csb0="0004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0916F4-37D7-4D01-BCF0-AE9C786E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pPr>
      <w:spacing w:after="0" w:line="240" w:lineRule="auto"/>
    </w:pPr>
    <w:rPr>
      <w:rFonts w:ascii="Arial" w:eastAsia="Times New Roman" w:hAnsi="Arial" w:cs="Arial"/>
      <w:b/>
      <w:sz w:val="24"/>
      <w:szCs w:val="24"/>
    </w:rPr>
  </w:style>
  <w:style w:type="character" w:customStyle="1" w:styleId="TijelotekstaChar">
    <w:name w:val="Tijelo teksta Char"/>
    <w:basedOn w:val="Zadanifontodlomka"/>
    <w:link w:val="Tijeloteksta"/>
    <w:rPr>
      <w:rFonts w:ascii="Arial" w:eastAsia="Times New Roman" w:hAnsi="Arial" w:cs="Arial"/>
      <w:b/>
      <w:sz w:val="24"/>
      <w:szCs w:val="24"/>
    </w:rPr>
  </w:style>
  <w:style w:type="paragraph" w:styleId="Tekstkrajnjebiljeke">
    <w:name w:val="endnote text"/>
    <w:basedOn w:val="Normal"/>
    <w:link w:val="TekstkrajnjebiljekeChar"/>
    <w:uiPriority w:val="99"/>
    <w:semiHidden/>
    <w:unhideWhenUsed/>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Pr>
      <w:sz w:val="20"/>
      <w:szCs w:val="20"/>
    </w:rPr>
  </w:style>
  <w:style w:type="character" w:styleId="Referencakrajnjebiljeke">
    <w:name w:val="endnote reference"/>
    <w:basedOn w:val="Zadanifontodlomka"/>
    <w:uiPriority w:val="99"/>
    <w:semiHidden/>
    <w:unhideWhenUsed/>
    <w:rPr>
      <w:vertAlign w:val="superscript"/>
    </w:rPr>
  </w:style>
  <w:style w:type="paragraph" w:styleId="Bezproreda">
    <w:name w:val="No Spacing"/>
    <w:uiPriority w:val="1"/>
    <w:qFormat/>
    <w:pPr>
      <w:suppressAutoHyphens/>
      <w:autoSpaceDN w:val="0"/>
      <w:spacing w:after="0" w:line="240" w:lineRule="auto"/>
    </w:pPr>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opcina-bilice.h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524</Words>
  <Characters>2991</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1</cp:revision>
  <dcterms:created xsi:type="dcterms:W3CDTF">2025-10-31T12:03:00Z</dcterms:created>
  <dcterms:modified xsi:type="dcterms:W3CDTF">2025-10-31T12:14:00Z</dcterms:modified>
</cp:coreProperties>
</file>