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tabs>
          <w:tab w:val="left" w:pos="8021"/>
        </w:tabs>
        <w:spacing w:after="0" w:line="240" w:lineRule="auto"/>
        <w:ind w:left="-180"/>
        <w:rPr>
          <w:rFonts w:ascii="Times New Roman" w:eastAsia="Times New Roman" w:hAnsi="Times New Roman" w:cs="Times New Roman"/>
          <w:lang w:eastAsia="hr-HR"/>
        </w:rPr>
      </w:pPr>
      <w:hyperlink r:id="rId6" w:tgtFrame="_top" w:history="1">
        <w:r>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 xml:space="preserve">    </w:t>
        </w:r>
        <w:r>
          <w:rPr>
            <w:rFonts w:ascii="Times New Roman" w:eastAsia="Times New Roman" w:hAnsi="Times New Roman" w:cs="Times New Roman"/>
            <w:noProof/>
            <w:color w:val="0000CC"/>
            <w:lang w:eastAsia="hr-HR"/>
          </w:rPr>
          <w:drawing>
            <wp:inline distT="0" distB="0" distL="0" distR="0">
              <wp:extent cx="523875" cy="619125"/>
              <wp:effectExtent l="0" t="0" r="9525" b="9525"/>
              <wp:docPr id="85" name="Slika 85" descr="http://www.inet.hr/~ureddrza/Grb-rh%20mal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et.hr/~ureddrza/Grb-rh%20mali.gif"/>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hyperlink>
      <w:r>
        <w:rPr>
          <w:rFonts w:ascii="Times New Roman" w:eastAsia="Times New Roman" w:hAnsi="Times New Roman" w:cs="Times New Roman"/>
          <w:lang w:eastAsia="hr-HR"/>
        </w:rPr>
        <w:t xml:space="preserve">                                                                                                                                    </w:t>
      </w:r>
    </w:p>
    <w:p>
      <w:pPr>
        <w:tabs>
          <w:tab w:val="left" w:pos="8021"/>
        </w:tabs>
        <w:spacing w:after="0" w:line="240" w:lineRule="auto"/>
        <w:ind w:left="-180"/>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w:t>
      </w:r>
    </w:p>
    <w:p>
      <w:pPr>
        <w:tabs>
          <w:tab w:val="left" w:pos="8021"/>
        </w:tabs>
        <w:spacing w:after="0" w:line="240" w:lineRule="auto"/>
        <w:ind w:left="-180"/>
        <w:rPr>
          <w:rFonts w:ascii="Times New Roman" w:eastAsia="Times New Roman" w:hAnsi="Times New Roman" w:cs="Times New Roman"/>
          <w:b/>
          <w:lang w:eastAsia="hr-HR"/>
        </w:rPr>
      </w:pPr>
      <w:r>
        <w:rPr>
          <w:rFonts w:ascii="Times New Roman" w:eastAsia="Times New Roman" w:hAnsi="Times New Roman" w:cs="Times New Roman"/>
          <w:b/>
          <w:lang w:eastAsia="hr-HR"/>
        </w:rPr>
        <w:t xml:space="preserve">     </w:t>
      </w:r>
      <w:r>
        <w:rPr>
          <w:rFonts w:ascii="Times New Roman" w:eastAsia="Times New Roman" w:hAnsi="Times New Roman" w:cs="Times New Roman"/>
          <w:b/>
          <w:lang w:eastAsia="hr-HR"/>
        </w:rPr>
        <w:t xml:space="preserve">       </w:t>
      </w:r>
      <w:r>
        <w:rPr>
          <w:rFonts w:ascii="Times New Roman" w:eastAsia="Times New Roman" w:hAnsi="Times New Roman" w:cs="Times New Roman"/>
          <w:b/>
          <w:lang w:eastAsia="hr-HR"/>
        </w:rPr>
        <w:t xml:space="preserve">  REPUBLIKA HRVATSKA</w:t>
      </w:r>
    </w:p>
    <w:p>
      <w:pPr>
        <w:tabs>
          <w:tab w:val="left" w:pos="8021"/>
        </w:tabs>
        <w:spacing w:after="0" w:line="240" w:lineRule="auto"/>
        <w:ind w:left="-180"/>
        <w:rPr>
          <w:rFonts w:ascii="Times New Roman" w:eastAsia="Times New Roman" w:hAnsi="Times New Roman" w:cs="Times New Roman"/>
          <w:b/>
          <w:lang w:eastAsia="hr-HR"/>
        </w:rPr>
      </w:pPr>
      <w:r>
        <w:rPr>
          <w:rFonts w:ascii="Times New Roman" w:eastAsia="Times New Roman" w:hAnsi="Times New Roman" w:cs="Times New Roman"/>
          <w:b/>
          <w:lang w:eastAsia="hr-HR"/>
        </w:rPr>
        <w:t xml:space="preserve">       ŠIBENSKO-KNINSKA ŽUPANIJA</w:t>
      </w:r>
    </w:p>
    <w:p>
      <w:pPr>
        <w:tabs>
          <w:tab w:val="left" w:pos="8021"/>
        </w:tabs>
        <w:spacing w:after="0" w:line="240" w:lineRule="auto"/>
        <w:ind w:left="-180"/>
        <w:rPr>
          <w:rFonts w:ascii="Times New Roman" w:eastAsia="Times New Roman" w:hAnsi="Times New Roman" w:cs="Times New Roman"/>
          <w:b/>
          <w:lang w:eastAsia="hr-HR"/>
        </w:rPr>
      </w:pPr>
      <w:r>
        <w:rPr>
          <w:rFonts w:ascii="Times New Roman" w:eastAsia="Times New Roman" w:hAnsi="Times New Roman" w:cs="Times New Roman"/>
          <w:b/>
          <w:lang w:eastAsia="hr-HR"/>
        </w:rPr>
        <w:t xml:space="preserve">      </w:t>
      </w:r>
      <w:r>
        <w:rPr>
          <w:rFonts w:ascii="Times New Roman" w:eastAsia="Times New Roman" w:hAnsi="Times New Roman" w:cs="Times New Roman"/>
          <w:b/>
          <w:lang w:eastAsia="hr-HR"/>
        </w:rPr>
        <w:t xml:space="preserve">             </w:t>
      </w:r>
      <w:r>
        <w:rPr>
          <w:rFonts w:ascii="Times New Roman" w:eastAsia="Times New Roman" w:hAnsi="Times New Roman" w:cs="Times New Roman"/>
          <w:b/>
          <w:lang w:eastAsia="hr-HR"/>
        </w:rPr>
        <w:t xml:space="preserve"> OPĆINA BILICE</w:t>
      </w:r>
    </w:p>
    <w:p>
      <w:pPr>
        <w:tabs>
          <w:tab w:val="left" w:pos="8021"/>
        </w:tabs>
        <w:spacing w:after="0" w:line="240" w:lineRule="auto"/>
        <w:ind w:left="-180"/>
        <w:rPr>
          <w:rFonts w:ascii="Times New Roman" w:eastAsia="Times New Roman" w:hAnsi="Times New Roman" w:cs="Times New Roman"/>
          <w:b/>
          <w:lang w:eastAsia="hr-HR"/>
        </w:rPr>
      </w:pPr>
      <w:r>
        <w:rPr>
          <w:rFonts w:ascii="Times New Roman" w:eastAsia="Times New Roman" w:hAnsi="Times New Roman" w:cs="Times New Roman"/>
          <w:b/>
          <w:lang w:eastAsia="hr-HR"/>
        </w:rPr>
        <w:t xml:space="preserve">                OPĆINSKO VIJEĆE</w:t>
      </w:r>
    </w:p>
    <w:p>
      <w:pPr>
        <w:tabs>
          <w:tab w:val="left" w:pos="8021"/>
        </w:tabs>
        <w:spacing w:after="0" w:line="240" w:lineRule="auto"/>
        <w:ind w:left="-180"/>
        <w:rPr>
          <w:rFonts w:ascii="Times New Roman" w:eastAsia="Times New Roman" w:hAnsi="Times New Roman" w:cs="Times New Roman"/>
          <w:b/>
          <w:sz w:val="16"/>
          <w:szCs w:val="16"/>
          <w:lang w:eastAsia="hr-HR"/>
        </w:rPr>
      </w:pPr>
      <w:r>
        <w:rPr>
          <w:rFonts w:ascii="Times New Roman" w:eastAsia="Times New Roman" w:hAnsi="Times New Roman" w:cs="Times New Roman"/>
          <w:b/>
          <w:lang w:eastAsia="hr-HR"/>
        </w:rPr>
        <w:t xml:space="preserve">       </w:t>
      </w:r>
    </w:p>
    <w:p>
      <w:pPr>
        <w:spacing w:after="0" w:line="240" w:lineRule="auto"/>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 xml:space="preserve">   KLASA: </w:t>
      </w:r>
      <w:r>
        <w:rPr>
          <w:rFonts w:ascii="Times New Roman" w:eastAsia="Times New Roman" w:hAnsi="Times New Roman" w:cs="Times New Roman"/>
          <w:bCs/>
          <w:sz w:val="24"/>
          <w:szCs w:val="24"/>
          <w:lang w:eastAsia="hr-HR"/>
        </w:rPr>
        <w:t>400-08/23-01/1</w:t>
      </w:r>
    </w:p>
    <w:p>
      <w:pPr>
        <w:spacing w:after="0" w:line="240" w:lineRule="auto"/>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 xml:space="preserve">   URBROJ: 2182-19-23-3</w:t>
      </w:r>
    </w:p>
    <w:p>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bCs/>
          <w:sz w:val="24"/>
          <w:szCs w:val="24"/>
          <w:lang w:eastAsia="hr-HR"/>
        </w:rPr>
        <w:t xml:space="preserve">   Bilice, 17</w:t>
      </w:r>
      <w:r>
        <w:rPr>
          <w:rFonts w:ascii="Times New Roman" w:eastAsia="Times New Roman" w:hAnsi="Times New Roman" w:cs="Times New Roman"/>
          <w:bCs/>
          <w:sz w:val="24"/>
          <w:szCs w:val="24"/>
          <w:lang w:eastAsia="hr-HR"/>
        </w:rPr>
        <w:t>. listopada 2023.</w:t>
      </w:r>
      <w:r>
        <w:rPr>
          <w:rFonts w:ascii="Times New Roman" w:eastAsia="Times New Roman" w:hAnsi="Times New Roman" w:cs="Times New Roman"/>
          <w:sz w:val="24"/>
          <w:szCs w:val="24"/>
          <w:lang w:eastAsia="hr-HR"/>
        </w:rPr>
        <w:t xml:space="preserve">      </w:t>
      </w:r>
    </w:p>
    <w:p>
      <w:pPr>
        <w:jc w:val="both"/>
        <w:rPr>
          <w:rFonts w:ascii="Times New Roman" w:hAnsi="Times New Roman" w:cs="Times New Roman"/>
          <w:sz w:val="24"/>
          <w:szCs w:val="24"/>
        </w:rPr>
      </w:pPr>
    </w:p>
    <w:p>
      <w:pPr>
        <w:ind w:firstLine="708"/>
        <w:jc w:val="both"/>
        <w:rPr>
          <w:rFonts w:ascii="Times New Roman" w:eastAsia="Times New Roman" w:hAnsi="Times New Roman" w:cs="Times New Roman"/>
          <w:sz w:val="24"/>
          <w:szCs w:val="24"/>
          <w:lang w:eastAsia="hr-HR"/>
        </w:rPr>
      </w:pPr>
      <w:r>
        <w:rPr>
          <w:rFonts w:ascii="Times New Roman" w:hAnsi="Times New Roman" w:cs="Times New Roman"/>
          <w:sz w:val="24"/>
          <w:szCs w:val="24"/>
        </w:rPr>
        <w:t xml:space="preserve">Na temelju članka 88. Zakona o proračunu ("Narodne novine", broj 144/21), Pravilnika o godišnjem i polugodišnjem izvještaju o izvršenju proračuna ("Narodne novine", broj 85/23) i članka i članka 37. Statuta Općine Bilice („Službeni vjesnik Šibensko-kninske županije“, broj 10/09, 5/13 i 8/13 i „Službeni glasnik Općine Bilice“, broj 3/18, 5/18, 1/21 i 6/21-pročišćeni tekst), </w:t>
      </w:r>
      <w:r>
        <w:rPr>
          <w:rFonts w:ascii="Times New Roman" w:eastAsia="Times New Roman" w:hAnsi="Times New Roman" w:cs="Times New Roman"/>
          <w:sz w:val="24"/>
          <w:szCs w:val="24"/>
          <w:lang w:eastAsia="hr-HR"/>
        </w:rPr>
        <w:t>Općinsko vijeće Općine Bilice na 21. sjednici, od 17. listopada 2023. godine, donosi</w:t>
      </w:r>
    </w:p>
    <w:p>
      <w:pPr>
        <w:rPr>
          <w:rFonts w:ascii="Times New Roman" w:eastAsia="Times New Roman" w:hAnsi="Times New Roman" w:cs="Times New Roman"/>
          <w:sz w:val="24"/>
          <w:szCs w:val="24"/>
          <w:lang w:eastAsia="hr-HR"/>
        </w:rPr>
      </w:pPr>
    </w:p>
    <w:p>
      <w:pPr>
        <w:jc w:val="center"/>
        <w:rPr>
          <w:rFonts w:ascii="Times New Roman" w:hAnsi="Times New Roman" w:cs="Times New Roman"/>
          <w:b/>
          <w:sz w:val="24"/>
          <w:szCs w:val="24"/>
        </w:rPr>
      </w:pPr>
      <w:r>
        <w:rPr>
          <w:rFonts w:ascii="Times New Roman" w:hAnsi="Times New Roman" w:cs="Times New Roman"/>
          <w:b/>
          <w:sz w:val="24"/>
          <w:szCs w:val="24"/>
        </w:rPr>
        <w:t xml:space="preserve">POLUGODIŠNJE IZVJEŠĆE O </w:t>
      </w:r>
    </w:p>
    <w:p>
      <w:pPr>
        <w:jc w:val="center"/>
        <w:rPr>
          <w:rFonts w:ascii="Times New Roman" w:hAnsi="Times New Roman" w:cs="Times New Roman"/>
          <w:b/>
          <w:sz w:val="24"/>
          <w:szCs w:val="24"/>
        </w:rPr>
      </w:pPr>
      <w:r>
        <w:rPr>
          <w:rFonts w:ascii="Times New Roman" w:hAnsi="Times New Roman" w:cs="Times New Roman"/>
          <w:b/>
          <w:sz w:val="24"/>
          <w:szCs w:val="24"/>
        </w:rPr>
        <w:t>IZVRŠENJU PRORAČUNA OPĆINE BILICE</w:t>
      </w:r>
    </w:p>
    <w:p>
      <w:pPr>
        <w:jc w:val="center"/>
        <w:rPr>
          <w:rFonts w:ascii="Times New Roman" w:hAnsi="Times New Roman" w:cs="Times New Roman"/>
          <w:b/>
          <w:sz w:val="24"/>
          <w:szCs w:val="24"/>
        </w:rPr>
      </w:pPr>
      <w:r>
        <w:rPr>
          <w:rFonts w:ascii="Times New Roman" w:hAnsi="Times New Roman" w:cs="Times New Roman"/>
          <w:b/>
          <w:sz w:val="24"/>
          <w:szCs w:val="24"/>
        </w:rPr>
        <w:t>ZA RAZDOBLJE OD 01.01. DO 30.06.2023. GODINE</w:t>
      </w:r>
    </w:p>
    <w:p>
      <w:pPr>
        <w:rPr>
          <w:rFonts w:ascii="Times New Roman" w:hAnsi="Times New Roman" w:cs="Times New Roman"/>
          <w:b/>
          <w:sz w:val="24"/>
          <w:szCs w:val="24"/>
        </w:rPr>
      </w:pPr>
    </w:p>
    <w:p>
      <w:pPr>
        <w:pStyle w:val="Odlomakpopisa"/>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t>OPĆI DIO</w:t>
      </w:r>
    </w:p>
    <w:p>
      <w:pPr>
        <w:jc w:val="center"/>
        <w:rPr>
          <w:rFonts w:ascii="Times New Roman" w:hAnsi="Times New Roman" w:cs="Times New Roman"/>
          <w:b/>
          <w:sz w:val="24"/>
          <w:szCs w:val="24"/>
        </w:rPr>
      </w:pPr>
      <w:r>
        <w:rPr>
          <w:rFonts w:ascii="Times New Roman" w:hAnsi="Times New Roman" w:cs="Times New Roman"/>
          <w:b/>
          <w:sz w:val="24"/>
          <w:szCs w:val="24"/>
        </w:rPr>
        <w:t>Članak 1.</w:t>
      </w:r>
    </w:p>
    <w:p>
      <w:pPr>
        <w:rPr>
          <w:rFonts w:ascii="Times New Roman" w:hAnsi="Times New Roman" w:cs="Times New Roman"/>
          <w:sz w:val="24"/>
          <w:szCs w:val="24"/>
        </w:rPr>
      </w:pPr>
      <w:r>
        <w:rPr>
          <w:rFonts w:ascii="Times New Roman" w:hAnsi="Times New Roman" w:cs="Times New Roman"/>
          <w:sz w:val="24"/>
          <w:szCs w:val="24"/>
        </w:rPr>
        <w:t>Proračun Općine Bilice za razdoblje od 01. siječnja do 30. lipnja 2023. godine ostvaren je, kako slijedi:</w:t>
      </w:r>
    </w:p>
    <w:p>
      <w:pPr>
        <w:rPr>
          <w:rFonts w:ascii="Times New Roman" w:hAnsi="Times New Roman" w:cs="Times New Roman"/>
          <w:sz w:val="24"/>
          <w:szCs w:val="24"/>
        </w:rPr>
      </w:pPr>
      <w:r>
        <w:rPr>
          <w:rFonts w:ascii="Times New Roman" w:hAnsi="Times New Roman" w:cs="Times New Roman"/>
          <w:sz w:val="24"/>
          <w:szCs w:val="24"/>
        </w:rPr>
        <w:t>Sažetak A: Računa prihoda i rashoda, B. Računa financiranja i C. Raspoloživa sredstva iz prethodnih godina.</w:t>
      </w:r>
    </w:p>
    <w:tbl>
      <w:tblPr>
        <w:tblW w:w="9951" w:type="dxa"/>
        <w:jc w:val="center"/>
        <w:tblLook w:val="04A0" w:firstRow="1" w:lastRow="0" w:firstColumn="1" w:lastColumn="0" w:noHBand="0" w:noVBand="1"/>
      </w:tblPr>
      <w:tblGrid>
        <w:gridCol w:w="3963"/>
        <w:gridCol w:w="1222"/>
        <w:gridCol w:w="1321"/>
        <w:gridCol w:w="1223"/>
        <w:gridCol w:w="1079"/>
        <w:gridCol w:w="1143"/>
      </w:tblGrid>
      <w:tr>
        <w:trPr>
          <w:trHeight w:val="440"/>
          <w:jc w:val="center"/>
        </w:trPr>
        <w:tc>
          <w:tcPr>
            <w:tcW w:w="3963"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Račun / opis</w:t>
            </w:r>
          </w:p>
        </w:tc>
        <w:tc>
          <w:tcPr>
            <w:tcW w:w="1222" w:type="dxa"/>
            <w:tcBorders>
              <w:top w:val="single" w:sz="4" w:space="0" w:color="auto"/>
              <w:left w:val="nil"/>
              <w:bottom w:val="single" w:sz="4" w:space="0" w:color="auto"/>
              <w:right w:val="single" w:sz="4" w:space="0" w:color="000000"/>
            </w:tcBorders>
            <w:shd w:val="clear" w:color="000000" w:fill="DDEBF7"/>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2022. €</w:t>
            </w:r>
          </w:p>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1-6.2022.</w:t>
            </w:r>
          </w:p>
        </w:tc>
        <w:tc>
          <w:tcPr>
            <w:tcW w:w="1321" w:type="dxa"/>
            <w:tcBorders>
              <w:top w:val="single" w:sz="4" w:space="0" w:color="auto"/>
              <w:left w:val="nil"/>
              <w:bottom w:val="single" w:sz="4" w:space="0" w:color="auto"/>
              <w:right w:val="single" w:sz="4" w:space="0" w:color="000000"/>
            </w:tcBorders>
            <w:shd w:val="clear" w:color="000000" w:fill="DDEBF7"/>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Izvorni plan 2023. €</w:t>
            </w:r>
          </w:p>
        </w:tc>
        <w:tc>
          <w:tcPr>
            <w:tcW w:w="1223" w:type="dxa"/>
            <w:tcBorders>
              <w:top w:val="single" w:sz="4" w:space="0" w:color="auto"/>
              <w:left w:val="nil"/>
              <w:bottom w:val="single" w:sz="4" w:space="0" w:color="auto"/>
              <w:right w:val="single" w:sz="4" w:space="0" w:color="000000"/>
            </w:tcBorders>
            <w:shd w:val="clear" w:color="000000" w:fill="DDEBF7"/>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2023. €</w:t>
            </w:r>
          </w:p>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1-6.2023.</w:t>
            </w:r>
          </w:p>
        </w:tc>
        <w:tc>
          <w:tcPr>
            <w:tcW w:w="1079" w:type="dxa"/>
            <w:tcBorders>
              <w:top w:val="single" w:sz="4" w:space="0" w:color="auto"/>
              <w:left w:val="nil"/>
              <w:bottom w:val="single" w:sz="4" w:space="0" w:color="auto"/>
              <w:right w:val="single" w:sz="4" w:space="0" w:color="000000"/>
            </w:tcBorders>
            <w:shd w:val="clear" w:color="000000" w:fill="DDEBF7"/>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3/1</w:t>
            </w:r>
          </w:p>
        </w:tc>
        <w:tc>
          <w:tcPr>
            <w:tcW w:w="1143" w:type="dxa"/>
            <w:tcBorders>
              <w:top w:val="single" w:sz="4" w:space="0" w:color="auto"/>
              <w:left w:val="nil"/>
              <w:bottom w:val="single" w:sz="4" w:space="0" w:color="auto"/>
              <w:right w:val="single" w:sz="4" w:space="0" w:color="000000"/>
            </w:tcBorders>
            <w:shd w:val="clear" w:color="000000" w:fill="DDEBF7"/>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3/2</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A. RAČUN PRIHODA I RASHODA</w:t>
            </w:r>
          </w:p>
        </w:tc>
        <w:tc>
          <w:tcPr>
            <w:tcW w:w="1222"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1</w:t>
            </w:r>
          </w:p>
        </w:tc>
        <w:tc>
          <w:tcPr>
            <w:tcW w:w="132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2</w:t>
            </w:r>
          </w:p>
        </w:tc>
        <w:tc>
          <w:tcPr>
            <w:tcW w:w="1223"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3</w:t>
            </w:r>
          </w:p>
        </w:tc>
        <w:tc>
          <w:tcPr>
            <w:tcW w:w="1079"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4</w:t>
            </w:r>
          </w:p>
        </w:tc>
        <w:tc>
          <w:tcPr>
            <w:tcW w:w="1143"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5</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 Prihodi poslovanja                                                                                  </w:t>
            </w:r>
          </w:p>
        </w:tc>
        <w:tc>
          <w:tcPr>
            <w:tcW w:w="1222"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621.270,24</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1.509.800,00</w:t>
            </w:r>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915.502,70</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147,36%</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60,64%</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7 Prihodi od prodaje nefinancijske imovine                                                            </w:t>
            </w:r>
          </w:p>
        </w:tc>
        <w:tc>
          <w:tcPr>
            <w:tcW w:w="1222"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161,92</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 UKUPNI PRIHODI</w:t>
            </w:r>
          </w:p>
        </w:tc>
        <w:tc>
          <w:tcPr>
            <w:tcW w:w="1222"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621.432,16</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1.509.800,00</w:t>
            </w:r>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915.502,70</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147,32%</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60,64%</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 Rashodi poslovanja                                                                                  </w:t>
            </w:r>
          </w:p>
        </w:tc>
        <w:tc>
          <w:tcPr>
            <w:tcW w:w="1222"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404.078,47</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1.014.000,00</w:t>
            </w:r>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381.131,97</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94,32%</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37,59%</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 Rashodi za nabavu nefinancijske imovine                                                             </w:t>
            </w:r>
          </w:p>
        </w:tc>
        <w:tc>
          <w:tcPr>
            <w:tcW w:w="1222"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91.676,90</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559.000,00</w:t>
            </w:r>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321.580,92</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350,78%</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57,53%</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 UKUPNI RASHODI</w:t>
            </w:r>
          </w:p>
        </w:tc>
        <w:tc>
          <w:tcPr>
            <w:tcW w:w="1222"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495.755,37</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1.573.000,00</w:t>
            </w:r>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702.712,89</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141,75%</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44,67%</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 VIŠAK / MANJAK</w:t>
            </w:r>
          </w:p>
        </w:tc>
        <w:tc>
          <w:tcPr>
            <w:tcW w:w="1222"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125.676,79</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-63.200,00</w:t>
            </w:r>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212.789,81</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169,32%</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-336,69%</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B. RAČUN ZADUŽIVANJA / FINANCIRANJA</w:t>
            </w:r>
          </w:p>
        </w:tc>
        <w:tc>
          <w:tcPr>
            <w:tcW w:w="1222"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1321"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1223"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1079"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1143"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8 Primici od financijske imovine i zaduživanja                                                        </w:t>
            </w:r>
          </w:p>
        </w:tc>
        <w:tc>
          <w:tcPr>
            <w:tcW w:w="1222"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321"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22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079"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5 Izdaci za financijsku imovinu i otplate zajmova                                                     </w:t>
            </w:r>
          </w:p>
        </w:tc>
        <w:tc>
          <w:tcPr>
            <w:tcW w:w="1222"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321"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69.500,00</w:t>
            </w:r>
          </w:p>
        </w:tc>
        <w:tc>
          <w:tcPr>
            <w:tcW w:w="1223"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31.600,65</w:t>
            </w:r>
          </w:p>
        </w:tc>
        <w:tc>
          <w:tcPr>
            <w:tcW w:w="1079"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45,47%</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 NETO ZADUŽIVANJE</w:t>
            </w:r>
          </w:p>
        </w:tc>
        <w:tc>
          <w:tcPr>
            <w:tcW w:w="1222"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1321"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-69.500,00</w:t>
            </w:r>
          </w:p>
        </w:tc>
        <w:tc>
          <w:tcPr>
            <w:tcW w:w="1223"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-31.600,65</w:t>
            </w:r>
          </w:p>
        </w:tc>
        <w:tc>
          <w:tcPr>
            <w:tcW w:w="1079"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45,47%</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lastRenderedPageBreak/>
              <w:t>UKUPNI DONOS VIŠKA / MANJKA IZ    PRETHODNE(IH) GODINA</w:t>
            </w:r>
          </w:p>
        </w:tc>
        <w:tc>
          <w:tcPr>
            <w:tcW w:w="1222"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w:t>
            </w:r>
          </w:p>
        </w:tc>
        <w:tc>
          <w:tcPr>
            <w:tcW w:w="1321"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1223"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1079"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w:t>
            </w:r>
          </w:p>
        </w:tc>
        <w:tc>
          <w:tcPr>
            <w:tcW w:w="1143"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w:t>
            </w:r>
          </w:p>
        </w:tc>
      </w:tr>
      <w:tr>
        <w:trPr>
          <w:trHeight w:val="502"/>
          <w:jc w:val="center"/>
        </w:trPr>
        <w:tc>
          <w:tcPr>
            <w:tcW w:w="3963"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VIŠAK / MANJAK IZ PRETHODNE(IH) GODINE KOJI ĆE SE POKRITI / RASPOREDITI</w:t>
            </w:r>
          </w:p>
        </w:tc>
        <w:tc>
          <w:tcPr>
            <w:tcW w:w="1222"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1321"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132.700,00</w:t>
            </w:r>
          </w:p>
        </w:tc>
        <w:tc>
          <w:tcPr>
            <w:tcW w:w="1223"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1079"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502"/>
          <w:jc w:val="center"/>
        </w:trPr>
        <w:tc>
          <w:tcPr>
            <w:tcW w:w="3963" w:type="dxa"/>
            <w:tcBorders>
              <w:top w:val="single" w:sz="4" w:space="0" w:color="auto"/>
              <w:left w:val="single" w:sz="4" w:space="0" w:color="auto"/>
              <w:bottom w:val="single" w:sz="4" w:space="0" w:color="auto"/>
              <w:right w:val="single" w:sz="4" w:space="0" w:color="auto"/>
            </w:tcBorders>
            <w:shd w:val="clear" w:color="000000" w:fill="808080"/>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C. VIŠAK / MANJAK + NETO ZADUŽIVANJE / FINANCIRANJE + KORIŠTENO U PRETHODNIM GODINAMA</w:t>
            </w:r>
          </w:p>
        </w:tc>
        <w:tc>
          <w:tcPr>
            <w:tcW w:w="1222"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1321"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1223"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1079"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1143" w:type="dxa"/>
            <w:tcBorders>
              <w:top w:val="single" w:sz="4" w:space="0" w:color="auto"/>
              <w:left w:val="nil"/>
              <w:bottom w:val="single" w:sz="4" w:space="0" w:color="auto"/>
              <w:right w:val="single" w:sz="4" w:space="0" w:color="auto"/>
            </w:tcBorders>
            <w:shd w:val="clear" w:color="000000" w:fill="808080"/>
            <w:noWrap/>
            <w:vAlign w:val="center"/>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r>
      <w:tr>
        <w:trPr>
          <w:trHeight w:val="258"/>
          <w:jc w:val="center"/>
        </w:trPr>
        <w:tc>
          <w:tcPr>
            <w:tcW w:w="39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 REZULTAT GODINE</w:t>
            </w:r>
          </w:p>
        </w:tc>
        <w:tc>
          <w:tcPr>
            <w:tcW w:w="1222"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125.676,79</w:t>
            </w:r>
          </w:p>
        </w:tc>
        <w:tc>
          <w:tcPr>
            <w:tcW w:w="1321"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1223"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181.189,16</w:t>
            </w:r>
          </w:p>
        </w:tc>
        <w:tc>
          <w:tcPr>
            <w:tcW w:w="1079" w:type="dxa"/>
            <w:tcBorders>
              <w:top w:val="single" w:sz="4" w:space="0" w:color="auto"/>
              <w:left w:val="nil"/>
              <w:bottom w:val="single" w:sz="4" w:space="0" w:color="auto"/>
              <w:right w:val="single" w:sz="4" w:space="0" w:color="auto"/>
            </w:tcBorders>
            <w:shd w:val="clear" w:color="auto" w:fill="auto"/>
            <w:noWrap/>
            <w:vAlign w:val="center"/>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144,17%</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bl>
    <w:p>
      <w:pPr>
        <w:rPr>
          <w:rFonts w:ascii="Times New Roman" w:hAnsi="Times New Roman" w:cs="Times New Roman"/>
          <w:sz w:val="24"/>
          <w:szCs w:val="24"/>
        </w:rPr>
      </w:pPr>
    </w:p>
    <w:p>
      <w:pPr>
        <w:rPr>
          <w:rFonts w:ascii="Times New Roman" w:hAnsi="Times New Roman" w:cs="Times New Roman"/>
          <w:sz w:val="24"/>
          <w:szCs w:val="24"/>
        </w:rPr>
      </w:pPr>
    </w:p>
    <w:p>
      <w:pPr>
        <w:jc w:val="center"/>
        <w:rPr>
          <w:rFonts w:ascii="Times New Roman" w:hAnsi="Times New Roman" w:cs="Times New Roman"/>
          <w:b/>
          <w:sz w:val="24"/>
          <w:szCs w:val="24"/>
        </w:rPr>
      </w:pPr>
      <w:r>
        <w:rPr>
          <w:rFonts w:ascii="Times New Roman" w:hAnsi="Times New Roman" w:cs="Times New Roman"/>
          <w:b/>
          <w:sz w:val="24"/>
          <w:szCs w:val="24"/>
        </w:rPr>
        <w:t>Članak 2.</w:t>
      </w:r>
    </w:p>
    <w:p>
      <w:pPr>
        <w:pStyle w:val="Odlomakpopisa"/>
        <w:numPr>
          <w:ilvl w:val="0"/>
          <w:numId w:val="2"/>
        </w:numPr>
        <w:jc w:val="center"/>
        <w:rPr>
          <w:rFonts w:ascii="Times New Roman" w:hAnsi="Times New Roman" w:cs="Times New Roman"/>
          <w:b/>
          <w:sz w:val="24"/>
          <w:szCs w:val="24"/>
        </w:rPr>
      </w:pPr>
      <w:r>
        <w:rPr>
          <w:rFonts w:ascii="Times New Roman" w:hAnsi="Times New Roman" w:cs="Times New Roman"/>
          <w:b/>
          <w:sz w:val="24"/>
          <w:szCs w:val="24"/>
        </w:rPr>
        <w:t>Račun prihoda i rashoda</w:t>
      </w:r>
    </w:p>
    <w:p>
      <w:pPr>
        <w:ind w:left="360"/>
        <w:jc w:val="both"/>
        <w:rPr>
          <w:rFonts w:ascii="Times New Roman" w:hAnsi="Times New Roman" w:cs="Times New Roman"/>
          <w:sz w:val="24"/>
          <w:szCs w:val="24"/>
        </w:rPr>
      </w:pPr>
      <w:r>
        <w:rPr>
          <w:rFonts w:ascii="Times New Roman" w:hAnsi="Times New Roman" w:cs="Times New Roman"/>
          <w:sz w:val="24"/>
          <w:szCs w:val="24"/>
        </w:rPr>
        <w:t>Prihodi i rashodi po ekonomskoj klasifikaciji utvrđeni u Računu prihoda i rashoda u prvom polugodištu 2023. godine ostvareni su, kako slijedi:</w:t>
      </w:r>
    </w:p>
    <w:tbl>
      <w:tblPr>
        <w:tblW w:w="10074" w:type="dxa"/>
        <w:jc w:val="center"/>
        <w:tblLook w:val="04A0" w:firstRow="1" w:lastRow="0" w:firstColumn="1" w:lastColumn="0" w:noHBand="0" w:noVBand="1"/>
      </w:tblPr>
      <w:tblGrid>
        <w:gridCol w:w="4934"/>
        <w:gridCol w:w="1102"/>
        <w:gridCol w:w="1151"/>
        <w:gridCol w:w="1102"/>
        <w:gridCol w:w="1026"/>
        <w:gridCol w:w="759"/>
      </w:tblGrid>
      <w:tr>
        <w:trPr>
          <w:trHeight w:val="435"/>
          <w:jc w:val="center"/>
        </w:trPr>
        <w:tc>
          <w:tcPr>
            <w:tcW w:w="4934"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Račun / opis</w:t>
            </w:r>
          </w:p>
        </w:tc>
        <w:tc>
          <w:tcPr>
            <w:tcW w:w="1102"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2022. €</w:t>
            </w:r>
          </w:p>
        </w:tc>
        <w:tc>
          <w:tcPr>
            <w:tcW w:w="1151"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Izvorni plan 2023. €</w:t>
            </w:r>
          </w:p>
        </w:tc>
        <w:tc>
          <w:tcPr>
            <w:tcW w:w="1102"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2023. €</w:t>
            </w:r>
          </w:p>
        </w:tc>
        <w:tc>
          <w:tcPr>
            <w:tcW w:w="1026"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3/1</w:t>
            </w:r>
          </w:p>
        </w:tc>
        <w:tc>
          <w:tcPr>
            <w:tcW w:w="759"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3/2</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A. RAČUN PRIHODA I RASHODA</w:t>
            </w:r>
          </w:p>
        </w:tc>
        <w:tc>
          <w:tcPr>
            <w:tcW w:w="1102"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1</w:t>
            </w:r>
          </w:p>
        </w:tc>
        <w:tc>
          <w:tcPr>
            <w:tcW w:w="115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2</w:t>
            </w:r>
          </w:p>
        </w:tc>
        <w:tc>
          <w:tcPr>
            <w:tcW w:w="1102"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3</w:t>
            </w:r>
          </w:p>
        </w:tc>
        <w:tc>
          <w:tcPr>
            <w:tcW w:w="1026"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4</w:t>
            </w:r>
          </w:p>
        </w:tc>
        <w:tc>
          <w:tcPr>
            <w:tcW w:w="759"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5</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6 Prihodi poslovanja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621.270,24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1.509.800,00</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915.502,70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147,36%</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60,64%</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61 Prihodi od poreza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468.457,74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616.324,68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131,56%</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611 Porez i prirez na dohodak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338.645,65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479.785,19</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141,68%</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6111 Porez i prirez na dohodak od nesamostalnog rada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338.645,65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479.785,19</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141,68%</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613 Porezi na imovinu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126.652,79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133.373,07</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105,31%</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6131 Stalni porezi na nepokretnu imovinu (zemlju, zgrade, kuće i ostalo)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23.754,71</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15.380,44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64,75%</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6134 Povremeni porezi na imovinu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102.898,07</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117.992,63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114,67%</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614 Porezi na robu i usluge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3.151,85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3.166,42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100,46%</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6142 Porez na promet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2.109,30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2.529,35</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119,91%</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6145 Porezi na korištenje dobara ili izvođenje aktivnosti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1.042,55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637,07</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61,11%</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616 Ostali prihodi od poreza</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7,45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6163 Ostali neraspoređeni prihodi od poreza</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7,45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63 Pomoći iz inozemstva i od subjekata unutar općeg proračuna</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49.837,42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148.409,50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297,79%</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633 Pomoći proračunu iz drugih proračuna</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49.837,42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148.409,50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297,79%</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6331 Tekuće pomoći proračunu iz drugih proračuna</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49.837,42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148.409,50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297,79%</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64 Prihodi od imovine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31.673,00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29.482,58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93,08%</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642 Prihodi od nefinancijske imovine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31.673,00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29.482,58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93,08%</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6421 Naknade za koncesije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4.654,59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5.906,04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126,89%</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6422 Prihodi od zakupa i iznajmljivanja imovine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25.730,69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23.536,74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91,47%</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6429 Ostali prihodi od nefinancijske imovine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1.287,72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39,80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3,09%</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65 Prihodi od upravnih i administrativnih pristojbi, pristojbi po posebnim propisima i naknada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63.057,33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103.355,15</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163,91%</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651 Upravne i administrativne pristojbe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1.283,98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1.791,13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139,50%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6514 Ostale pristojbe i naknade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1.283,98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1.791,13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139,50%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653 Komunalni doprinosi i naknade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61.773,36</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101.564,02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164,41%</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6531 Komunalni doprinosi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11.102,99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51.529,39</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464,10%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6532 Komunalne naknade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50.670,36</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50.034,63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98,75%</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66 Prihodi od prodaje proizvoda i robe te pruženih usluga i prihodi od donacija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7.594,40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17.472,33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230,07%</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663 Donacije od pravnih i fizičkih osoba izvan općeg proračuna</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7.594,40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17.472,33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230,07%</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6631 Tekuće donacije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7.594,40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17.472,33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230,07%</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68 Kazne, upravne mjere i ostali prihodi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650,34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458,46</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70,50%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681 Kazne i upravne mjere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421,39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6819 Ostale kazne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421,39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lastRenderedPageBreak/>
              <w:t xml:space="preserve">683 Ostali prihodi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228,95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458,46</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200,24%</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6831 Ostali prihodi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228,95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458,46</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200,24%</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7 Prihodi od prodaje nefinancijske imovine                                                            </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 161,92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72 Prihodi od prodaje proizvedene dugotrajne imovine                                            </w:t>
            </w: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 161,92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 </w:t>
            </w:r>
          </w:p>
        </w:tc>
        <w:tc>
          <w:tcPr>
            <w:tcW w:w="102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bCs/>
                <w:sz w:val="16"/>
                <w:szCs w:val="16"/>
                <w:lang w:eastAsia="hr-HR"/>
              </w:rPr>
            </w:pPr>
            <w:r>
              <w:rPr>
                <w:rFonts w:ascii="Arial" w:eastAsia="Times New Roman" w:hAnsi="Arial" w:cs="Arial"/>
                <w:bCs/>
                <w:sz w:val="16"/>
                <w:szCs w:val="16"/>
                <w:lang w:eastAsia="hr-HR"/>
              </w:rPr>
              <w:t>723 Prihodi od prodaje prijevoznih sredstava</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r>
              <w:rPr>
                <w:rFonts w:ascii="Arial" w:eastAsia="Times New Roman" w:hAnsi="Arial" w:cs="Arial"/>
                <w:bCs/>
                <w:sz w:val="16"/>
                <w:szCs w:val="16"/>
                <w:lang w:eastAsia="hr-HR"/>
              </w:rPr>
              <w:t>161,92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r>
              <w:rPr>
                <w:rFonts w:ascii="Arial" w:eastAsia="Times New Roman" w:hAnsi="Arial" w:cs="Arial"/>
                <w:bCs/>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r>
              <w:rPr>
                <w:rFonts w:ascii="Arial" w:eastAsia="Times New Roman" w:hAnsi="Arial" w:cs="Arial"/>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bCs/>
                <w:sz w:val="16"/>
                <w:szCs w:val="16"/>
                <w:lang w:eastAsia="hr-HR"/>
              </w:rPr>
            </w:pPr>
            <w:r>
              <w:rPr>
                <w:rFonts w:ascii="Arial" w:eastAsia="Times New Roman" w:hAnsi="Arial" w:cs="Arial"/>
                <w:bCs/>
                <w:sz w:val="16"/>
                <w:szCs w:val="16"/>
                <w:lang w:eastAsia="hr-HR"/>
              </w:rPr>
              <w:t>7231 Prijevozna sredstva u cestovnom prometu</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r>
              <w:rPr>
                <w:rFonts w:ascii="Arial" w:eastAsia="Times New Roman" w:hAnsi="Arial" w:cs="Arial"/>
                <w:bCs/>
                <w:sz w:val="16"/>
                <w:szCs w:val="16"/>
                <w:lang w:eastAsia="hr-HR"/>
              </w:rPr>
              <w:t>161,92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r>
              <w:rPr>
                <w:rFonts w:ascii="Arial" w:eastAsia="Times New Roman" w:hAnsi="Arial" w:cs="Arial"/>
                <w:bCs/>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r>
              <w:rPr>
                <w:rFonts w:ascii="Arial" w:eastAsia="Times New Roman" w:hAnsi="Arial" w:cs="Arial"/>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3 Rashodi poslovanja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404.078,47</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1.014.000,00</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381.131,97</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94,32%</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37,59%</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31 Rashodi za zaposlene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55.919,00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61.896,85</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110,69%</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311 Plaće (Bruto)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38.683,37</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42.985,04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111,12%</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3111 Plaće za redovan rad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38.683,37</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42.985,04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111,12%</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312 Ostali rashodi za zaposlene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532,88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331,81</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62,27%</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3121 Ostali rashodi za zaposlene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532,88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331,81</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62,27%</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313 Doprinosi na plaće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16.702,75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18.580,00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111,24%</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3131 Doprinosi za mirovinsko osiguranje</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9.670,86</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10.746,22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111,12%</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3132 Doprinosi za obvezno zdravstveno osiguranje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7.031,89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7.833,78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111,40%</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32 Materijalni rashodi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222.668,82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179.947,43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80,81%</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321 Naknade troškova zaposlenima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3.770,73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1.410,88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37,42%</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3211 Službena putovanja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365,25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106,18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29,07%</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3212 Naknade za prijevoz, za rad na terenu i odvojeni život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2.094,84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1.074,70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51,30%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3213 Stručno usavršavanje zaposlenika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1.310,64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230,00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17,55%</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322 Rashodi za materijal i energiju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33.922,48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29.059,04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85,66%</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3221 Uredski materijal i ostali materijalni rashodi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3.024,81</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1.992,68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65,88%</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3223 Energija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30.788,58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26.050,61</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84,61%</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3224 Materijal i dijelovi za tekuće i investicijsko održavanje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16,59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1.015,75</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6122,66%</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3225 Sitni inventar i auto gume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15,25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3227 Službena, radna i zaštitna odjeća i obuća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77,25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323 Rashodi za usluge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174.770,35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139.383,99</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79,75%</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3231 Usluge telefona, pošte i prijevoza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5.196,41</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4.121,80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79,32%</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3232 Usluge tekućeg i investicijskog održavanja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123.917,11</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101.265,22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81,72%</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3233 Usluge promidžbe i informiranja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1.360,94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258,80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19,02%</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3234 Komunalne usluge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4.984,20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2.041,33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40,96%</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3235 Zakupnine i najamnine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7.590,78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7.590,78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3237 Intelektualne i osobne usluge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25.465,39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14.954,39</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58,72%</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3238 Računalne usluge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4.909,18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6.919,59</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140,95%</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3239 Ostale usluge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1.346,35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2.232,08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165,79%</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329 Ostali nespomenuti rashodi poslovanja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10.205,25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10.093,52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98,91%</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3291 Naknade za rad predstavničkih i izvršnih tijela, povjerenstava i slično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4.979,47</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5.975,22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3292 Premije osiguranja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647,85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312,72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48,27%</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3293 Reprezentacija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838,52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1.402,26</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167,23%</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3296 Troškovi sudskih postupaka</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2.024,02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26,54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1,31%</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3299 Ostali nespomenuti rashodi poslovanja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1.715,39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2.376,78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138,56%</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34 Financijski rashodi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5.237,83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8.579,34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163,80%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342 Kamate za primljene kredite i zajmove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895,97</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1.714,93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191,40%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3423 Kamate za primljene kredite i zajmove od kreditnih i ostalih financijskih institucija izvan javnog s</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895,97</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1.714,93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191,40%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343 Ostali financijski rashodi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4.341,86</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6.864,41</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158,10%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3431 Bankarske usluge i usluge platnog prometa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973,42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683,64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70,23%</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3433 Zatezne kamate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13,67</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3434 Ostali nespomenuti financijski rashodi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3.368,44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6.167,10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183,08%</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37 Naknade građanima i kućanstvima na temelju osiguranja i druge naknade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85.518,99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92.605,13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108,29%</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372 Ostale naknade građanima i kućanstvima iz proračuna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85.518,99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92.605,13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108,29%</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3721 Naknade građanima i kućanstvima u novcu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9.821,96</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11.691,62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119,04%</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lastRenderedPageBreak/>
              <w:t xml:space="preserve">3722 Naknade građanima i kućanstvima u naravi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75.697,03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80.913,51</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106,89%</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38 Ostali rashodi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34.733,83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38.103,22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109,70%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381 Tekuće donacije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34.733,83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38.103,22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109,70%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3811 Tekuće donacije u novcu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34.733,83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38.103,22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109,70%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4 Rashodi za nabavu nefinancijske imovine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91.676,90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559.000,00</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321.580,92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350,78%</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57,53%</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41 Rashodi za nabavu neproizvedene dugotrajne imovine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2.600,00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412 Nematerijalna imovina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2.600,00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4126 Ostala nematerijalna imovina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2.600,00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42 Rashodi za nabavu proizvedene dugotrajne imovine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91.676,90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318.980,92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347,94%</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421 Građevinski objekti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88.835,12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299.111,23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336,70%</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4212 Poslovni objekti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64.984,78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297.711,23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458,12%</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4214 Ostali građevinski objekti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23.850,34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1.400,00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5,87%</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422 Postrojenja i oprema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1.514,55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16.460,31</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1086,81%</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4221 Uredska oprema i namještaj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299,69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15.160,58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5058,75%</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4222 Komunikacijska oprema</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1.122,09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1.250,00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111,40%</w:t>
            </w:r>
          </w:p>
        </w:tc>
        <w:tc>
          <w:tcPr>
            <w:tcW w:w="75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4223 Oprema za održavanje i zaštitu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92,77</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49,73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53,61%</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426 Nematerijalna proizvedena imovina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1.327,23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3.409,38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256,88%</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4262 Ulaganja u računalne programe                                                                       </w:t>
            </w: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1.327,23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0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3.409,38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256,88%</w:t>
            </w:r>
          </w:p>
        </w:tc>
        <w:tc>
          <w:tcPr>
            <w:tcW w:w="75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bl>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Prihodi i rashodi po izvorima financiranja utvrđeni u Računu prihoda i rashoda za izvještajno razdoblje od 01.01. do 30.06.2023. godine ostvareni su, kako slijedi:</w:t>
      </w:r>
    </w:p>
    <w:p>
      <w:pPr>
        <w:rPr>
          <w:rFonts w:ascii="Times New Roman" w:hAnsi="Times New Roman" w:cs="Times New Roman"/>
          <w:sz w:val="24"/>
          <w:szCs w:val="24"/>
        </w:rPr>
      </w:pPr>
    </w:p>
    <w:tbl>
      <w:tblPr>
        <w:tblW w:w="9928" w:type="dxa"/>
        <w:jc w:val="center"/>
        <w:tblLook w:val="04A0" w:firstRow="1" w:lastRow="0" w:firstColumn="1" w:lastColumn="0" w:noHBand="0" w:noVBand="1"/>
      </w:tblPr>
      <w:tblGrid>
        <w:gridCol w:w="4528"/>
        <w:gridCol w:w="1151"/>
        <w:gridCol w:w="1151"/>
        <w:gridCol w:w="1151"/>
        <w:gridCol w:w="1026"/>
        <w:gridCol w:w="921"/>
      </w:tblGrid>
      <w:tr>
        <w:trPr>
          <w:trHeight w:val="526"/>
          <w:jc w:val="center"/>
        </w:trPr>
        <w:tc>
          <w:tcPr>
            <w:tcW w:w="452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Račun / opis</w:t>
            </w:r>
          </w:p>
        </w:tc>
        <w:tc>
          <w:tcPr>
            <w:tcW w:w="1151"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2022. €</w:t>
            </w:r>
          </w:p>
        </w:tc>
        <w:tc>
          <w:tcPr>
            <w:tcW w:w="1151"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Izvorni plan 2023. €</w:t>
            </w:r>
          </w:p>
        </w:tc>
        <w:tc>
          <w:tcPr>
            <w:tcW w:w="1151"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2023. €</w:t>
            </w:r>
          </w:p>
        </w:tc>
        <w:tc>
          <w:tcPr>
            <w:tcW w:w="1026"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3/1</w:t>
            </w:r>
          </w:p>
        </w:tc>
        <w:tc>
          <w:tcPr>
            <w:tcW w:w="921" w:type="dxa"/>
            <w:tcBorders>
              <w:top w:val="single" w:sz="4" w:space="0" w:color="auto"/>
              <w:left w:val="nil"/>
              <w:bottom w:val="single" w:sz="4" w:space="0" w:color="auto"/>
              <w:right w:val="single" w:sz="4" w:space="0" w:color="auto"/>
            </w:tcBorders>
            <w:shd w:val="clear" w:color="000000" w:fill="C0C0C0"/>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3/2</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PRIHODI I RASHODI PREMA IZVORIMA FINANCIRANJA</w:t>
            </w:r>
          </w:p>
        </w:tc>
        <w:tc>
          <w:tcPr>
            <w:tcW w:w="1151"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1</w:t>
            </w:r>
          </w:p>
        </w:tc>
        <w:tc>
          <w:tcPr>
            <w:tcW w:w="1151"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2</w:t>
            </w:r>
          </w:p>
        </w:tc>
        <w:tc>
          <w:tcPr>
            <w:tcW w:w="1151"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3</w:t>
            </w:r>
          </w:p>
        </w:tc>
        <w:tc>
          <w:tcPr>
            <w:tcW w:w="1026"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4</w:t>
            </w:r>
          </w:p>
        </w:tc>
        <w:tc>
          <w:tcPr>
            <w:tcW w:w="921"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5</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xml:space="preserve"> SVEUKUPNI PRIHODI</w:t>
            </w:r>
          </w:p>
        </w:tc>
        <w:tc>
          <w:tcPr>
            <w:tcW w:w="115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621.432,16</w:t>
            </w:r>
          </w:p>
        </w:tc>
        <w:tc>
          <w:tcPr>
            <w:tcW w:w="115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1.509.800,00</w:t>
            </w:r>
          </w:p>
        </w:tc>
        <w:tc>
          <w:tcPr>
            <w:tcW w:w="115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915.502,70</w:t>
            </w:r>
          </w:p>
        </w:tc>
        <w:tc>
          <w:tcPr>
            <w:tcW w:w="1026"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147,32%</w:t>
            </w:r>
          </w:p>
        </w:tc>
        <w:tc>
          <w:tcPr>
            <w:tcW w:w="92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60,64%</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1. OPĆI PRIHODI I PRIMICI</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500.943,00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826.600,00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646.387,85</w:t>
            </w: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129,03%</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78,20%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1.1. PRIHOD OD POREZA (61)</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468.457,74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781.300,00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616.324,68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131,56%</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78,88%</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1.3. PRIHODI OD NEFINANCIJSKE IMOVINE</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31.673,00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38.500,00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29.482,58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93,08%</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76,58%</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Izvori 1.4. PRIHODI OD ADMINISTRATIVNIH (UPRAVNIH) PRISTOJBI (65)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122,13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8,72%</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1.7. PRIHODI OD PRODAJE NEFINANCIJSKE IMOVINE</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161,92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1.9. OPĆI PRIHODI I PRIMICI</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650,34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5.400,00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458,46</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70,50%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8,49%</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4. PRIHODI ZA POSEBNE NAMJENE</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61.773,36</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340.600,00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101.564,02</w:t>
            </w: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164,41%</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29,82%</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4.3. PRIHODI OD KOMUNALNE NAKNADE</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50.670,36</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198.000,00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50.034,63</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98,75%</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25,27%</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4.4. PRIHODI OD KOMUNALNOG DOPRINOSA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11.102,99</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142.600,00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51.529,39</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464,10%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36,14%</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5. POMOĆI</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49.837,42</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320.100,00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148.409,50</w:t>
            </w: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297,79%</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46,36%</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5.5. TEKUĆE POMOĆI IZ DRŽAVNOG PRORAČUNA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49.837,42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287.000,00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144.409,50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289,76%</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50,32%</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Izvor 5.6. TEKUĆE POMOĆI IZ ŽUPANIJSKOG PRORAČUNA </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4.000,00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5.7. KAPITALNE POMOĆI IZ DRŽAVNOG PRORAČUNA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6.600,00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5.8. KAPITALNE POMOĆI IZ ŽUPANIJSKOG PRORAČUNA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26.500,00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6. DONACIJE</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8.878,38</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22.500,00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19.141,33</w:t>
            </w: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215,59%</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85,07%</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6.1. PRIHODI OSTVARENI OD FIZIČKIH OSOBA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7.594,40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6.600,00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3.395,99</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44,72%</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51,45%</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6.2. PRIHODI OD NEPROFITNIH ORGANIZACIJA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1.283,98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9.300,00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1.669,00</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129,99%</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17,95%</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6.3. PRIHODI OD TRGOVAČKIH DRUŠTAVA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6.600,00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14.076,34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213,28%</w:t>
            </w:r>
          </w:p>
        </w:tc>
      </w:tr>
      <w:tr>
        <w:trPr>
          <w:trHeight w:val="255"/>
          <w:jc w:val="center"/>
        </w:trPr>
        <w:tc>
          <w:tcPr>
            <w:tcW w:w="4528" w:type="dxa"/>
            <w:tcBorders>
              <w:top w:val="nil"/>
              <w:left w:val="nil"/>
              <w:bottom w:val="nil"/>
              <w:right w:val="nil"/>
            </w:tcBorders>
            <w:shd w:val="clear" w:color="auto" w:fill="auto"/>
            <w:noWrap/>
            <w:vAlign w:val="bottom"/>
            <w:hideMark/>
          </w:tcPr>
          <w:p>
            <w:pPr>
              <w:spacing w:after="0" w:line="240" w:lineRule="auto"/>
              <w:jc w:val="right"/>
              <w:rPr>
                <w:rFonts w:ascii="Arial" w:eastAsia="Times New Roman" w:hAnsi="Arial" w:cs="Arial"/>
                <w:sz w:val="16"/>
                <w:szCs w:val="16"/>
                <w:lang w:eastAsia="hr-HR"/>
              </w:rPr>
            </w:pPr>
          </w:p>
        </w:tc>
        <w:tc>
          <w:tcPr>
            <w:tcW w:w="1151" w:type="dxa"/>
            <w:tcBorders>
              <w:top w:val="nil"/>
              <w:left w:val="nil"/>
              <w:bottom w:val="nil"/>
              <w:right w:val="nil"/>
            </w:tcBorders>
            <w:shd w:val="clear" w:color="auto" w:fill="auto"/>
            <w:noWrap/>
            <w:vAlign w:val="bottom"/>
            <w:hideMark/>
          </w:tcPr>
          <w:p>
            <w:pPr>
              <w:spacing w:after="0" w:line="240" w:lineRule="auto"/>
              <w:rPr>
                <w:rFonts w:ascii="Times New Roman" w:eastAsia="Times New Roman" w:hAnsi="Times New Roman" w:cs="Times New Roman"/>
                <w:sz w:val="20"/>
                <w:szCs w:val="20"/>
                <w:lang w:eastAsia="hr-HR"/>
              </w:rPr>
            </w:pPr>
          </w:p>
        </w:tc>
        <w:tc>
          <w:tcPr>
            <w:tcW w:w="1151" w:type="dxa"/>
            <w:tcBorders>
              <w:top w:val="nil"/>
              <w:left w:val="nil"/>
              <w:bottom w:val="nil"/>
              <w:right w:val="nil"/>
            </w:tcBorders>
            <w:shd w:val="clear" w:color="auto" w:fill="auto"/>
            <w:noWrap/>
            <w:vAlign w:val="bottom"/>
            <w:hideMark/>
          </w:tcPr>
          <w:p>
            <w:pPr>
              <w:spacing w:after="0" w:line="240" w:lineRule="auto"/>
              <w:rPr>
                <w:rFonts w:ascii="Times New Roman" w:eastAsia="Times New Roman" w:hAnsi="Times New Roman" w:cs="Times New Roman"/>
                <w:sz w:val="20"/>
                <w:szCs w:val="20"/>
                <w:lang w:eastAsia="hr-HR"/>
              </w:rPr>
            </w:pPr>
          </w:p>
        </w:tc>
        <w:tc>
          <w:tcPr>
            <w:tcW w:w="1151" w:type="dxa"/>
            <w:tcBorders>
              <w:top w:val="nil"/>
              <w:left w:val="nil"/>
              <w:bottom w:val="nil"/>
              <w:right w:val="nil"/>
            </w:tcBorders>
            <w:shd w:val="clear" w:color="auto" w:fill="auto"/>
            <w:noWrap/>
            <w:vAlign w:val="bottom"/>
            <w:hideMark/>
          </w:tcPr>
          <w:p>
            <w:pPr>
              <w:spacing w:after="0" w:line="240" w:lineRule="auto"/>
              <w:rPr>
                <w:rFonts w:ascii="Times New Roman" w:eastAsia="Times New Roman" w:hAnsi="Times New Roman" w:cs="Times New Roman"/>
                <w:sz w:val="20"/>
                <w:szCs w:val="20"/>
                <w:lang w:eastAsia="hr-HR"/>
              </w:rPr>
            </w:pPr>
          </w:p>
        </w:tc>
        <w:tc>
          <w:tcPr>
            <w:tcW w:w="1026" w:type="dxa"/>
            <w:tcBorders>
              <w:top w:val="nil"/>
              <w:left w:val="nil"/>
              <w:bottom w:val="nil"/>
              <w:right w:val="nil"/>
            </w:tcBorders>
            <w:shd w:val="clear" w:color="auto" w:fill="auto"/>
            <w:noWrap/>
            <w:vAlign w:val="bottom"/>
            <w:hideMark/>
          </w:tcPr>
          <w:p>
            <w:pPr>
              <w:spacing w:after="0" w:line="240" w:lineRule="auto"/>
              <w:rPr>
                <w:rFonts w:ascii="Times New Roman" w:eastAsia="Times New Roman" w:hAnsi="Times New Roman" w:cs="Times New Roman"/>
                <w:sz w:val="20"/>
                <w:szCs w:val="20"/>
                <w:lang w:eastAsia="hr-HR"/>
              </w:rPr>
            </w:pPr>
          </w:p>
        </w:tc>
        <w:tc>
          <w:tcPr>
            <w:tcW w:w="921" w:type="dxa"/>
            <w:tcBorders>
              <w:top w:val="nil"/>
              <w:left w:val="nil"/>
              <w:bottom w:val="nil"/>
              <w:right w:val="nil"/>
            </w:tcBorders>
            <w:shd w:val="clear" w:color="auto" w:fill="auto"/>
            <w:noWrap/>
            <w:vAlign w:val="bottom"/>
            <w:hideMark/>
          </w:tcPr>
          <w:p>
            <w:pPr>
              <w:spacing w:after="0" w:line="240" w:lineRule="auto"/>
              <w:rPr>
                <w:rFonts w:ascii="Times New Roman" w:eastAsia="Times New Roman" w:hAnsi="Times New Roman" w:cs="Times New Roman"/>
                <w:sz w:val="20"/>
                <w:szCs w:val="20"/>
                <w:lang w:eastAsia="hr-HR"/>
              </w:rPr>
            </w:pP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xml:space="preserve"> SVEUKUPNI RASHODI</w:t>
            </w:r>
          </w:p>
        </w:tc>
        <w:tc>
          <w:tcPr>
            <w:tcW w:w="115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346.751,07</w:t>
            </w:r>
          </w:p>
        </w:tc>
        <w:tc>
          <w:tcPr>
            <w:tcW w:w="115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1.573.000,00</w:t>
            </w:r>
          </w:p>
        </w:tc>
        <w:tc>
          <w:tcPr>
            <w:tcW w:w="115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702.712,89</w:t>
            </w:r>
          </w:p>
        </w:tc>
        <w:tc>
          <w:tcPr>
            <w:tcW w:w="1026"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202,66%</w:t>
            </w:r>
          </w:p>
        </w:tc>
        <w:tc>
          <w:tcPr>
            <w:tcW w:w="92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44,67%</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1. OPĆI PRIHODI I PRIMICI</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168.884,25</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757.100,00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309.307,50</w:t>
            </w: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183,15%</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40,85%</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1.1. PRIHOD OD POREZA (61)</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148.740,24</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711,800,00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297.119,88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199,76%</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41,74%</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lastRenderedPageBreak/>
              <w:t>Izvor 1.3. PRIHODI OD NEFINANCIJSKE IMOVINE</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20.144,01</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38.500,00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12.187,62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60,50%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31,66%</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Izvori 1.4. PRIHODI OD ADMINISTRATIVNIH (UPRAVNIH) PRISTOJBI (65)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1.9. OPĆI PRIHODI I PRIMICI</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5.400,00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4. PRIHODI ZA POSEBNE NAMJENE</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102.535,31</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340.600,00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46.240,82</w:t>
            </w: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45,10%</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13,58%</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4.3. PRIHODI OD KOMUNALNE NAKNADE</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62.989,88</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198.000,00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46.240,82</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73,41%</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23,35%</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4.4. PRIHODI OD KOMUNALNOG DOPRINOSA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39.545,42</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142.600,00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5. POMOĆI</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48.707,67</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320.100,00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94.483,44</w:t>
            </w: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193,98%</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29,52%</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5.5. TEKUĆE POMOĆI IZ DRŽAVNOG PRORAČUNA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48.707,67</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287.000,00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83.714,09</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171,87%</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29,17%</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5.7. KAPITALNE POMOĆI IZ DRŽAVNOG PRORAČUNA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6.600,00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5.8. KAPITALNE POMOĆI IZ ŽUPANIJSKOG PRORAČUNA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26.500,00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10.769,35</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40,64%</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6. DONACIJE</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1.184,50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22.500,00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13.745,87</w:t>
            </w: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1160,48%</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61,09%</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6.1. PRIHODI OSTVARENI OD FIZIČKIH OSOBA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6.600,00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7.147,65</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108,30%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6.2. PRIHODI OD NEPROFITNIH ORGANIZACIJA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1.184,50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9.300,00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4.344,44</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366,77%</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46,71%</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6.3. PRIHODI OD TRGOVAČKIH DRUŠTAVA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6.600,00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2.253,78</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34,15%</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7. NAMJENSKI PRIMICI OD ZADUŽIVANJA</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25.439,35</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7.1. PRIMICI OD DUGOROČNOG ZADUŽIVANJA</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25.439,35</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Izvor 8. NAMJENSKI IZVORI ZA PROGRAM GRAĐENJA</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132.700,00</w:t>
            </w:r>
          </w:p>
        </w:tc>
        <w:tc>
          <w:tcPr>
            <w:tcW w:w="115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238.935,26</w:t>
            </w:r>
          </w:p>
        </w:tc>
        <w:tc>
          <w:tcPr>
            <w:tcW w:w="1026"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180,06%</w:t>
            </w:r>
          </w:p>
        </w:tc>
      </w:tr>
      <w:tr>
        <w:trPr>
          <w:trHeight w:val="255"/>
          <w:jc w:val="center"/>
        </w:trPr>
        <w:tc>
          <w:tcPr>
            <w:tcW w:w="4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Izvor 8.2. VIŠAK PRIHODA OD KREDITA IZ PRETHODNE GODINE</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132.700,00</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238.935,26</w:t>
            </w:r>
          </w:p>
        </w:tc>
        <w:tc>
          <w:tcPr>
            <w:tcW w:w="102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180,06%</w:t>
            </w:r>
          </w:p>
        </w:tc>
      </w:tr>
    </w:tbl>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Rashodi prema funkcijskoj klasifikaciji utvrđeni u Računu prihoda i rashoda za izvještajno razdoblje od 01.01. do 30.06.2023. godine ostvareni su, kako slijedi:</w:t>
      </w:r>
    </w:p>
    <w:tbl>
      <w:tblPr>
        <w:tblW w:w="10055" w:type="dxa"/>
        <w:jc w:val="center"/>
        <w:tblLook w:val="04A0" w:firstRow="1" w:lastRow="0" w:firstColumn="1" w:lastColumn="0" w:noHBand="0" w:noVBand="1"/>
      </w:tblPr>
      <w:tblGrid>
        <w:gridCol w:w="4904"/>
        <w:gridCol w:w="1132"/>
        <w:gridCol w:w="1151"/>
        <w:gridCol w:w="1132"/>
        <w:gridCol w:w="921"/>
        <w:gridCol w:w="937"/>
      </w:tblGrid>
      <w:tr>
        <w:trPr>
          <w:trHeight w:val="510"/>
          <w:jc w:val="center"/>
        </w:trPr>
        <w:tc>
          <w:tcPr>
            <w:tcW w:w="4904" w:type="dxa"/>
            <w:tcBorders>
              <w:top w:val="single" w:sz="4" w:space="0" w:color="auto"/>
              <w:left w:val="single" w:sz="4" w:space="0" w:color="auto"/>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Račun/Opis</w:t>
            </w:r>
          </w:p>
        </w:tc>
        <w:tc>
          <w:tcPr>
            <w:tcW w:w="1132" w:type="dxa"/>
            <w:tcBorders>
              <w:top w:val="single" w:sz="4" w:space="0" w:color="auto"/>
              <w:left w:val="nil"/>
              <w:bottom w:val="single" w:sz="4" w:space="0" w:color="auto"/>
              <w:right w:val="single" w:sz="4" w:space="0" w:color="auto"/>
            </w:tcBorders>
            <w:shd w:val="clear" w:color="000000" w:fill="969696"/>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2022 €</w:t>
            </w:r>
          </w:p>
        </w:tc>
        <w:tc>
          <w:tcPr>
            <w:tcW w:w="1132" w:type="dxa"/>
            <w:tcBorders>
              <w:top w:val="single" w:sz="4" w:space="0" w:color="auto"/>
              <w:left w:val="nil"/>
              <w:bottom w:val="single" w:sz="4" w:space="0" w:color="auto"/>
              <w:right w:val="single" w:sz="4" w:space="0" w:color="auto"/>
            </w:tcBorders>
            <w:shd w:val="clear" w:color="000000" w:fill="969696"/>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Izvorni plan 2023 €</w:t>
            </w:r>
          </w:p>
        </w:tc>
        <w:tc>
          <w:tcPr>
            <w:tcW w:w="1132" w:type="dxa"/>
            <w:tcBorders>
              <w:top w:val="single" w:sz="4" w:space="0" w:color="auto"/>
              <w:left w:val="nil"/>
              <w:bottom w:val="single" w:sz="4" w:space="0" w:color="auto"/>
              <w:right w:val="single" w:sz="4" w:space="0" w:color="auto"/>
            </w:tcBorders>
            <w:shd w:val="clear" w:color="000000" w:fill="969696"/>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2023 €</w:t>
            </w:r>
          </w:p>
        </w:tc>
        <w:tc>
          <w:tcPr>
            <w:tcW w:w="921" w:type="dxa"/>
            <w:tcBorders>
              <w:top w:val="single" w:sz="4" w:space="0" w:color="auto"/>
              <w:left w:val="nil"/>
              <w:bottom w:val="single" w:sz="4" w:space="0" w:color="auto"/>
              <w:right w:val="single" w:sz="4" w:space="0" w:color="auto"/>
            </w:tcBorders>
            <w:shd w:val="clear" w:color="000000" w:fill="969696"/>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3/1</w:t>
            </w:r>
          </w:p>
        </w:tc>
        <w:tc>
          <w:tcPr>
            <w:tcW w:w="834" w:type="dxa"/>
            <w:tcBorders>
              <w:top w:val="single" w:sz="4" w:space="0" w:color="auto"/>
              <w:left w:val="nil"/>
              <w:bottom w:val="single" w:sz="4" w:space="0" w:color="auto"/>
              <w:right w:val="single" w:sz="4" w:space="0" w:color="auto"/>
            </w:tcBorders>
            <w:shd w:val="clear" w:color="000000" w:fill="969696"/>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3/2</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 </w:t>
            </w:r>
          </w:p>
        </w:tc>
        <w:tc>
          <w:tcPr>
            <w:tcW w:w="1132"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1</w:t>
            </w:r>
          </w:p>
        </w:tc>
        <w:tc>
          <w:tcPr>
            <w:tcW w:w="1132"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2</w:t>
            </w:r>
          </w:p>
        </w:tc>
        <w:tc>
          <w:tcPr>
            <w:tcW w:w="1132"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3</w:t>
            </w:r>
          </w:p>
        </w:tc>
        <w:tc>
          <w:tcPr>
            <w:tcW w:w="921"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4</w:t>
            </w:r>
          </w:p>
        </w:tc>
        <w:tc>
          <w:tcPr>
            <w:tcW w:w="834"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5</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Funkcijska klasifikacija  SVEUKUPNI RASHODI</w:t>
            </w:r>
          </w:p>
        </w:tc>
        <w:tc>
          <w:tcPr>
            <w:tcW w:w="1132" w:type="dxa"/>
            <w:tcBorders>
              <w:top w:val="single" w:sz="4" w:space="0" w:color="auto"/>
              <w:left w:val="nil"/>
              <w:bottom w:val="single" w:sz="4" w:space="0" w:color="auto"/>
              <w:right w:val="single" w:sz="4" w:space="0" w:color="auto"/>
            </w:tcBorders>
            <w:shd w:val="clear" w:color="000000" w:fill="C0C0C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495.755,37</w:t>
            </w:r>
          </w:p>
        </w:tc>
        <w:tc>
          <w:tcPr>
            <w:tcW w:w="1132" w:type="dxa"/>
            <w:tcBorders>
              <w:top w:val="single" w:sz="4" w:space="0" w:color="auto"/>
              <w:left w:val="nil"/>
              <w:bottom w:val="single" w:sz="4" w:space="0" w:color="auto"/>
              <w:right w:val="single" w:sz="4" w:space="0" w:color="auto"/>
            </w:tcBorders>
            <w:shd w:val="clear" w:color="000000" w:fill="C0C0C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1.573.000,00</w:t>
            </w:r>
          </w:p>
        </w:tc>
        <w:tc>
          <w:tcPr>
            <w:tcW w:w="1132" w:type="dxa"/>
            <w:tcBorders>
              <w:top w:val="single" w:sz="4" w:space="0" w:color="auto"/>
              <w:left w:val="nil"/>
              <w:bottom w:val="single" w:sz="4" w:space="0" w:color="auto"/>
              <w:right w:val="single" w:sz="4" w:space="0" w:color="auto"/>
            </w:tcBorders>
            <w:shd w:val="clear" w:color="000000" w:fill="C0C0C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702.712,89</w:t>
            </w:r>
          </w:p>
        </w:tc>
        <w:tc>
          <w:tcPr>
            <w:tcW w:w="921" w:type="dxa"/>
            <w:tcBorders>
              <w:top w:val="single" w:sz="4" w:space="0" w:color="auto"/>
              <w:left w:val="nil"/>
              <w:bottom w:val="single" w:sz="4" w:space="0" w:color="auto"/>
              <w:right w:val="single" w:sz="4" w:space="0" w:color="auto"/>
            </w:tcBorders>
            <w:shd w:val="clear" w:color="000000" w:fill="C0C0C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141,75%</w:t>
            </w:r>
          </w:p>
        </w:tc>
        <w:tc>
          <w:tcPr>
            <w:tcW w:w="834" w:type="dxa"/>
            <w:tcBorders>
              <w:top w:val="single" w:sz="4" w:space="0" w:color="auto"/>
              <w:left w:val="nil"/>
              <w:bottom w:val="single" w:sz="4" w:space="0" w:color="auto"/>
              <w:right w:val="single" w:sz="4" w:space="0" w:color="auto"/>
            </w:tcBorders>
            <w:shd w:val="clear" w:color="000000" w:fill="C0C0C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44,67%</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pPr>
              <w:spacing w:after="0" w:line="240" w:lineRule="auto"/>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Funkcijska klasifikacija 01 Opće javne usluge</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127.485,93</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335.300,00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149.591,95</w:t>
            </w:r>
          </w:p>
        </w:tc>
        <w:tc>
          <w:tcPr>
            <w:tcW w:w="921"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117,34%</w:t>
            </w:r>
          </w:p>
        </w:tc>
        <w:tc>
          <w:tcPr>
            <w:tcW w:w="834"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44,61%</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011 "Izvršna  i zakonodavna tijela, financijski i fiskalni poslovi, vanjski poslovi"</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6.340,41</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16.200,00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6.234,02</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98,32%</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38,48%</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013 Opće usluge</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120.372,97</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316.400,00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140.409,18</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116,65%</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44,38%</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016 Opće javne usluge koje nisu drugdje svrstane</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772,55</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2.700,00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2.948,75</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381,69%</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109,21%</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pPr>
              <w:spacing w:after="0" w:line="240" w:lineRule="auto"/>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Funkcijska klasifikacija 03 Javni red i sigurnost</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1.327,23</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4.000,00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p>
        </w:tc>
        <w:tc>
          <w:tcPr>
            <w:tcW w:w="921"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p>
        </w:tc>
        <w:tc>
          <w:tcPr>
            <w:tcW w:w="834"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036 Rashodi za javni red i sigurnost koji nisu drugdje svrstani</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1.327,23</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4.000,00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pPr>
              <w:spacing w:after="0" w:line="240" w:lineRule="auto"/>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Funkcijska klasifikacija 04 Ekonomski poslovi</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79.023,88</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352.500,00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52.979,18</w:t>
            </w:r>
          </w:p>
        </w:tc>
        <w:tc>
          <w:tcPr>
            <w:tcW w:w="921"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67,04%</w:t>
            </w:r>
          </w:p>
        </w:tc>
        <w:tc>
          <w:tcPr>
            <w:tcW w:w="834"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15,03%</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041 Opći ekonomski, trgovački i poslovi vezani uz rad</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6.100,00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043 Gorivo i energija</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26.911,50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92.900,00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22.747,72</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84,53%</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24.49%</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044 Rudarstvo, proizvodnja i građevinarstvo</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26.000,00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045 Promet</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44.149,00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205.700,00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21.787,44</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49,35%</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10,59%</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047 Ostale industrije</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7.963,37</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17.300,00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8.444,02</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106,04%</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48,81%</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049 Ekonomski poslovi koji nisu drugdje svrstani</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4.000,00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pPr>
              <w:spacing w:after="0" w:line="240" w:lineRule="auto"/>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Funkcijska klasifikacija 05 Zaštita okoliša</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21.617,39</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113.500,00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14.551,20</w:t>
            </w:r>
          </w:p>
        </w:tc>
        <w:tc>
          <w:tcPr>
            <w:tcW w:w="921"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67,31%</w:t>
            </w:r>
          </w:p>
        </w:tc>
        <w:tc>
          <w:tcPr>
            <w:tcW w:w="834"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12,82%</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051 Gospodarenje otpadom</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21.617,39</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40.500,00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14.551,20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67,31%</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35,93%</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056 Poslovi i usluge zaštite okoliša koji nisu drugdje svrstani</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73.000,00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pPr>
              <w:spacing w:after="0" w:line="240" w:lineRule="auto"/>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Funkcijska klasifikacija 06 Usluge unapređenja stanovanja i zajednice</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113.594,51</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470.200,00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333.845,47</w:t>
            </w:r>
          </w:p>
        </w:tc>
        <w:tc>
          <w:tcPr>
            <w:tcW w:w="921"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293,89%</w:t>
            </w:r>
          </w:p>
        </w:tc>
        <w:tc>
          <w:tcPr>
            <w:tcW w:w="834"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71,00%</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062 Razvoj zajednice</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72.787,22</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357.800,00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290.932,66</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399,70%</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81,31%</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064 Ulična rasvjeta</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35.664,28</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111.100,00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41.627,06</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116,72%</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37,47%</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066 Rashodi vezani za stanovanje i kom. pogodnosti koji nisu drugdje svrstani</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5.143,01</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1.300,00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1.285,75</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25,00%</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98,90%</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pPr>
              <w:spacing w:after="0" w:line="240" w:lineRule="auto"/>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lastRenderedPageBreak/>
              <w:t>Funkcijska klasifikacija 07 Zdravstvo</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6.356,46</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17.300,00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3.609,12</w:t>
            </w:r>
          </w:p>
        </w:tc>
        <w:tc>
          <w:tcPr>
            <w:tcW w:w="921"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56,78%</w:t>
            </w:r>
          </w:p>
        </w:tc>
        <w:tc>
          <w:tcPr>
            <w:tcW w:w="834"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20,86%</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072 Službe za vanjske pacijente</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3.609,09</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9.300,00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3.609,12</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100,00%</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38,81%</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074 Službe javnog zdravstva</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2.747,36</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5.300,00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076 Poslovi i usluge zdravstva koji nisu drugdje svrstani</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2.700,00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pPr>
              <w:spacing w:after="0" w:line="240" w:lineRule="auto"/>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Funkcijska klasifikacija 08 "Rekreacija, kultura i religija"</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63.395,76</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74.200,00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60.175,97</w:t>
            </w:r>
          </w:p>
        </w:tc>
        <w:tc>
          <w:tcPr>
            <w:tcW w:w="921"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94,92%</w:t>
            </w:r>
          </w:p>
        </w:tc>
        <w:tc>
          <w:tcPr>
            <w:tcW w:w="834"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81,10%</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081 Službe rekreacije i sporta</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23.850,34</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73.000,00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1.400,00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5,87%</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1,92%</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084 Religijske i druge službe zajednice</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39.545,42</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1.200,00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58.775,97</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148,63%</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4898,00%</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pPr>
              <w:spacing w:after="0" w:line="240" w:lineRule="auto"/>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Funkcijska klasifikacija 09 Obrazovanje</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70.860,71</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159.300,00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74.014,60</w:t>
            </w:r>
          </w:p>
        </w:tc>
        <w:tc>
          <w:tcPr>
            <w:tcW w:w="921"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104,45%</w:t>
            </w:r>
          </w:p>
        </w:tc>
        <w:tc>
          <w:tcPr>
            <w:tcW w:w="834"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46,46%</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091 Predškolsko i osnovno obrazovanje</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70.860,71</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159.300,00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74.014,60</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104,45%</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46,46%</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000000" w:fill="99CCFF"/>
            <w:noWrap/>
            <w:vAlign w:val="bottom"/>
            <w:hideMark/>
          </w:tcPr>
          <w:p>
            <w:pPr>
              <w:spacing w:after="0" w:line="240" w:lineRule="auto"/>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Funkcijska klasifikacija 10 Socijalna zaštita</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12.093,50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46.700,00</w:t>
            </w:r>
          </w:p>
        </w:tc>
        <w:tc>
          <w:tcPr>
            <w:tcW w:w="1132"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13.945,40</w:t>
            </w:r>
          </w:p>
        </w:tc>
        <w:tc>
          <w:tcPr>
            <w:tcW w:w="921"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115,31%</w:t>
            </w:r>
          </w:p>
        </w:tc>
        <w:tc>
          <w:tcPr>
            <w:tcW w:w="834" w:type="dxa"/>
            <w:tcBorders>
              <w:top w:val="single" w:sz="4" w:space="0" w:color="auto"/>
              <w:left w:val="nil"/>
              <w:bottom w:val="single" w:sz="4" w:space="0" w:color="auto"/>
              <w:right w:val="single" w:sz="4" w:space="0" w:color="auto"/>
            </w:tcBorders>
            <w:shd w:val="clear" w:color="000000" w:fill="99CCFF"/>
            <w:noWrap/>
            <w:vAlign w:val="bottom"/>
          </w:tcPr>
          <w:p>
            <w:pPr>
              <w:spacing w:after="0" w:line="240" w:lineRule="auto"/>
              <w:jc w:val="right"/>
              <w:rPr>
                <w:rFonts w:ascii="Arial" w:eastAsia="Times New Roman" w:hAnsi="Arial" w:cs="Arial"/>
                <w:b/>
                <w:bCs/>
                <w:color w:val="000000"/>
                <w:sz w:val="16"/>
                <w:szCs w:val="16"/>
                <w:lang w:eastAsia="hr-HR"/>
              </w:rPr>
            </w:pPr>
            <w:r>
              <w:rPr>
                <w:rFonts w:ascii="Arial" w:eastAsia="Times New Roman" w:hAnsi="Arial" w:cs="Arial"/>
                <w:b/>
                <w:bCs/>
                <w:color w:val="000000"/>
                <w:sz w:val="16"/>
                <w:szCs w:val="16"/>
                <w:lang w:eastAsia="hr-HR"/>
              </w:rPr>
              <w:t>29,86%</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107 Socijalna pomoć stanovništvu koje nije obuhvaćeno redovnim socijalnim programima</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2.271,54</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6.600,00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2.253,78</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99,22%</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34,15%</w:t>
            </w:r>
          </w:p>
        </w:tc>
      </w:tr>
      <w:tr>
        <w:trPr>
          <w:trHeight w:val="254"/>
          <w:jc w:val="center"/>
        </w:trPr>
        <w:tc>
          <w:tcPr>
            <w:tcW w:w="49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Funkcijska klasifikacija 109 Aktivnosti socijalne zaštite koje nisu drugdje svrstane</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9.821,96</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40.100,00</w:t>
            </w:r>
          </w:p>
        </w:tc>
        <w:tc>
          <w:tcPr>
            <w:tcW w:w="113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11.691,62</w:t>
            </w:r>
          </w:p>
        </w:tc>
        <w:tc>
          <w:tcPr>
            <w:tcW w:w="92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119,04%</w:t>
            </w:r>
          </w:p>
        </w:tc>
        <w:tc>
          <w:tcPr>
            <w:tcW w:w="834"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color w:val="000000"/>
                <w:sz w:val="16"/>
                <w:szCs w:val="16"/>
                <w:lang w:eastAsia="hr-HR"/>
              </w:rPr>
            </w:pPr>
            <w:r>
              <w:rPr>
                <w:rFonts w:ascii="Arial" w:eastAsia="Times New Roman" w:hAnsi="Arial" w:cs="Arial"/>
                <w:color w:val="000000"/>
                <w:sz w:val="16"/>
                <w:szCs w:val="16"/>
                <w:lang w:eastAsia="hr-HR"/>
              </w:rPr>
              <w:t>29,16%</w:t>
            </w:r>
          </w:p>
        </w:tc>
      </w:tr>
    </w:tbl>
    <w:p>
      <w:pPr>
        <w:rPr>
          <w:rFonts w:ascii="Times New Roman" w:hAnsi="Times New Roman" w:cs="Times New Roman"/>
          <w:sz w:val="24"/>
          <w:szCs w:val="24"/>
        </w:rPr>
      </w:pPr>
    </w:p>
    <w:p>
      <w:pPr>
        <w:pStyle w:val="Odlomakpopisa"/>
        <w:numPr>
          <w:ilvl w:val="0"/>
          <w:numId w:val="2"/>
        </w:numPr>
        <w:jc w:val="center"/>
        <w:rPr>
          <w:rFonts w:ascii="Times New Roman" w:hAnsi="Times New Roman" w:cs="Times New Roman"/>
          <w:b/>
          <w:sz w:val="24"/>
          <w:szCs w:val="24"/>
        </w:rPr>
      </w:pPr>
      <w:r>
        <w:rPr>
          <w:rFonts w:ascii="Times New Roman" w:hAnsi="Times New Roman" w:cs="Times New Roman"/>
          <w:b/>
          <w:sz w:val="24"/>
          <w:szCs w:val="24"/>
        </w:rPr>
        <w:t>Račun financiranja</w:t>
      </w:r>
    </w:p>
    <w:p>
      <w:pPr>
        <w:rPr>
          <w:rFonts w:ascii="Times New Roman" w:hAnsi="Times New Roman" w:cs="Times New Roman"/>
          <w:sz w:val="24"/>
          <w:szCs w:val="24"/>
        </w:rPr>
      </w:pPr>
      <w:r>
        <w:rPr>
          <w:rFonts w:ascii="Times New Roman" w:hAnsi="Times New Roman" w:cs="Times New Roman"/>
          <w:sz w:val="24"/>
          <w:szCs w:val="24"/>
        </w:rPr>
        <w:t>Primici i izdaci po ekonomskoj klasifikaciji utvrđeni u Računu financiranja za izvještajno razdoblje od 01.01. do 30.06.2023. godine ostvareni su, kako slijedi:</w:t>
      </w:r>
    </w:p>
    <w:tbl>
      <w:tblPr>
        <w:tblW w:w="10206" w:type="dxa"/>
        <w:jc w:val="center"/>
        <w:tblLook w:val="04A0" w:firstRow="1" w:lastRow="0" w:firstColumn="1" w:lastColumn="0" w:noHBand="0" w:noVBand="1"/>
      </w:tblPr>
      <w:tblGrid>
        <w:gridCol w:w="5414"/>
        <w:gridCol w:w="1017"/>
        <w:gridCol w:w="1151"/>
        <w:gridCol w:w="1017"/>
        <w:gridCol w:w="752"/>
        <w:gridCol w:w="855"/>
      </w:tblGrid>
      <w:tr>
        <w:trPr>
          <w:trHeight w:val="522"/>
          <w:jc w:val="center"/>
        </w:trPr>
        <w:tc>
          <w:tcPr>
            <w:tcW w:w="5414"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Račun/Opis</w:t>
            </w:r>
          </w:p>
        </w:tc>
        <w:tc>
          <w:tcPr>
            <w:tcW w:w="1017"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2022</w:t>
            </w:r>
          </w:p>
        </w:tc>
        <w:tc>
          <w:tcPr>
            <w:tcW w:w="1151"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Izvorni plan 2023 €</w:t>
            </w:r>
          </w:p>
        </w:tc>
        <w:tc>
          <w:tcPr>
            <w:tcW w:w="1017"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2023 €</w:t>
            </w:r>
          </w:p>
        </w:tc>
        <w:tc>
          <w:tcPr>
            <w:tcW w:w="752"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3/1</w:t>
            </w:r>
          </w:p>
        </w:tc>
        <w:tc>
          <w:tcPr>
            <w:tcW w:w="855"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3/2</w:t>
            </w: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B. RAČUN ZADUŽIVANJA FINANCIRANJA</w:t>
            </w:r>
          </w:p>
        </w:tc>
        <w:tc>
          <w:tcPr>
            <w:tcW w:w="1017"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1</w:t>
            </w:r>
          </w:p>
        </w:tc>
        <w:tc>
          <w:tcPr>
            <w:tcW w:w="115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2</w:t>
            </w:r>
          </w:p>
        </w:tc>
        <w:tc>
          <w:tcPr>
            <w:tcW w:w="1017"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3</w:t>
            </w:r>
          </w:p>
        </w:tc>
        <w:tc>
          <w:tcPr>
            <w:tcW w:w="752"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4</w:t>
            </w:r>
          </w:p>
        </w:tc>
        <w:tc>
          <w:tcPr>
            <w:tcW w:w="855"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center"/>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5</w:t>
            </w: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8 Primici od financijske imovine i zaduživanja                                                        </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530.891,23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84 Primici od zaduživanja                                                                              </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530.891,23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844 Primljeni krediti i zajmovi od kreditnih i ostalih financijskih institucija izvan javnog sektora</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530.891,23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8445 Primljeni zajmovi od ostalih tuzemnih financijskih institucija izvan javnog sektora</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530.891,23</w:t>
            </w: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5 Izdaci za financijsku imovinu i otplate zajmova                                                     </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69.500,00</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31.600,65</w:t>
            </w: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45,47%</w:t>
            </w: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xml:space="preserve">54 Izdaci za otplatu glavnice primljenih kredita i zajmova                                             </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31.600,65</w:t>
            </w: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544 Otplata glavnice primljenih kredita i zajmova od kreditnih i ostalih financijskih institucija izvan </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31.600,65</w:t>
            </w: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xml:space="preserve">5443 Otplata glavnice primljenih kredita od tuzemnih kreditnih institucija izvan javnog sektora          </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31.600,65</w:t>
            </w: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xml:space="preserve"> NETO FINANCIRANJE</w:t>
            </w:r>
          </w:p>
        </w:tc>
        <w:tc>
          <w:tcPr>
            <w:tcW w:w="1017"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530.891,23</w:t>
            </w:r>
          </w:p>
        </w:tc>
        <w:tc>
          <w:tcPr>
            <w:tcW w:w="1151"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63.200,00</w:t>
            </w:r>
          </w:p>
        </w:tc>
        <w:tc>
          <w:tcPr>
            <w:tcW w:w="1017"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-31.600,65</w:t>
            </w:r>
          </w:p>
        </w:tc>
        <w:tc>
          <w:tcPr>
            <w:tcW w:w="752"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-5,95%</w:t>
            </w:r>
          </w:p>
        </w:tc>
        <w:tc>
          <w:tcPr>
            <w:tcW w:w="855"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-50,00%</w:t>
            </w: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 </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9 Vlastiti izvori</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115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132.700,00</w:t>
            </w:r>
          </w:p>
        </w:tc>
        <w:tc>
          <w:tcPr>
            <w:tcW w:w="1017"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752"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c>
          <w:tcPr>
            <w:tcW w:w="855"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
                <w:bCs/>
                <w:sz w:val="16"/>
                <w:szCs w:val="16"/>
                <w:lang w:eastAsia="hr-HR"/>
              </w:rPr>
            </w:pPr>
          </w:p>
        </w:tc>
      </w:tr>
      <w:tr>
        <w:trPr>
          <w:trHeight w:val="238"/>
          <w:jc w:val="center"/>
        </w:trPr>
        <w:tc>
          <w:tcPr>
            <w:tcW w:w="5414"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xml:space="preserve"> KORIŠTENJE SREDSTAVA IZ PRETHODNIH GODINA</w:t>
            </w:r>
          </w:p>
        </w:tc>
        <w:tc>
          <w:tcPr>
            <w:tcW w:w="1017"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p>
        </w:tc>
        <w:tc>
          <w:tcPr>
            <w:tcW w:w="1151"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132.700,00</w:t>
            </w:r>
          </w:p>
        </w:tc>
        <w:tc>
          <w:tcPr>
            <w:tcW w:w="1017"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p>
        </w:tc>
        <w:tc>
          <w:tcPr>
            <w:tcW w:w="752"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p>
        </w:tc>
        <w:tc>
          <w:tcPr>
            <w:tcW w:w="855"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p>
        </w:tc>
      </w:tr>
    </w:tbl>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t>Primici i izdaci po izvorima financiranja utvrđeni u Računu financiranja za izvještajno razdoblje od 01.01. do 30.06.2023. godine ostvareni su, kako slijedi:</w:t>
      </w:r>
    </w:p>
    <w:tbl>
      <w:tblPr>
        <w:tblW w:w="10130" w:type="dxa"/>
        <w:jc w:val="center"/>
        <w:tblLook w:val="04A0" w:firstRow="1" w:lastRow="0" w:firstColumn="1" w:lastColumn="0" w:noHBand="0" w:noVBand="1"/>
      </w:tblPr>
      <w:tblGrid>
        <w:gridCol w:w="5205"/>
        <w:gridCol w:w="1098"/>
        <w:gridCol w:w="1098"/>
        <w:gridCol w:w="1098"/>
        <w:gridCol w:w="841"/>
        <w:gridCol w:w="790"/>
      </w:tblGrid>
      <w:tr>
        <w:trPr>
          <w:trHeight w:val="565"/>
          <w:jc w:val="center"/>
        </w:trPr>
        <w:tc>
          <w:tcPr>
            <w:tcW w:w="5205"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Račun / opis</w:t>
            </w:r>
          </w:p>
        </w:tc>
        <w:tc>
          <w:tcPr>
            <w:tcW w:w="1098"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2022. €</w:t>
            </w:r>
          </w:p>
        </w:tc>
        <w:tc>
          <w:tcPr>
            <w:tcW w:w="1098"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Izvorni plan 2023. €</w:t>
            </w:r>
          </w:p>
        </w:tc>
        <w:tc>
          <w:tcPr>
            <w:tcW w:w="1098"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2023. €</w:t>
            </w:r>
          </w:p>
        </w:tc>
        <w:tc>
          <w:tcPr>
            <w:tcW w:w="841"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3/1</w:t>
            </w:r>
          </w:p>
        </w:tc>
        <w:tc>
          <w:tcPr>
            <w:tcW w:w="790" w:type="dxa"/>
            <w:tcBorders>
              <w:top w:val="single" w:sz="4" w:space="0" w:color="auto"/>
              <w:left w:val="nil"/>
              <w:bottom w:val="single" w:sz="4" w:space="0" w:color="auto"/>
              <w:right w:val="single" w:sz="4" w:space="0" w:color="auto"/>
            </w:tcBorders>
            <w:shd w:val="clear" w:color="000000" w:fill="C0C0C0"/>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3/2</w:t>
            </w: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B. RAČUN ZADUŽIVANJA FINANCIRANJA</w:t>
            </w:r>
          </w:p>
        </w:tc>
        <w:tc>
          <w:tcPr>
            <w:tcW w:w="1098"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1</w:t>
            </w:r>
          </w:p>
        </w:tc>
        <w:tc>
          <w:tcPr>
            <w:tcW w:w="1098"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2</w:t>
            </w:r>
          </w:p>
        </w:tc>
        <w:tc>
          <w:tcPr>
            <w:tcW w:w="1098"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3</w:t>
            </w:r>
          </w:p>
        </w:tc>
        <w:tc>
          <w:tcPr>
            <w:tcW w:w="841"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4</w:t>
            </w:r>
          </w:p>
        </w:tc>
        <w:tc>
          <w:tcPr>
            <w:tcW w:w="790"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5</w:t>
            </w: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000000" w:fill="808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xml:space="preserve"> UKUPNI PRIMICI</w:t>
            </w:r>
          </w:p>
        </w:tc>
        <w:tc>
          <w:tcPr>
            <w:tcW w:w="1098"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530.891,23</w:t>
            </w:r>
          </w:p>
        </w:tc>
        <w:tc>
          <w:tcPr>
            <w:tcW w:w="1098"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p>
        </w:tc>
        <w:tc>
          <w:tcPr>
            <w:tcW w:w="1098"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841"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c>
          <w:tcPr>
            <w:tcW w:w="790" w:type="dxa"/>
            <w:tcBorders>
              <w:top w:val="single" w:sz="4" w:space="0" w:color="auto"/>
              <w:left w:val="nil"/>
              <w:bottom w:val="single" w:sz="4" w:space="0" w:color="auto"/>
              <w:right w:val="single" w:sz="4" w:space="0" w:color="auto"/>
            </w:tcBorders>
            <w:shd w:val="clear" w:color="000000" w:fill="808080"/>
            <w:noWrap/>
            <w:vAlign w:val="bottom"/>
            <w:hideMark/>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 </w:t>
            </w: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7. NAMJENSKI PRIMICI OD ZADUŽIVANJA</w:t>
            </w:r>
          </w:p>
        </w:tc>
        <w:tc>
          <w:tcPr>
            <w:tcW w:w="1098" w:type="dxa"/>
            <w:tcBorders>
              <w:top w:val="single" w:sz="4" w:space="0" w:color="auto"/>
              <w:left w:val="nil"/>
              <w:bottom w:val="single" w:sz="4" w:space="0" w:color="auto"/>
              <w:right w:val="single" w:sz="4" w:space="0" w:color="auto"/>
            </w:tcBorders>
            <w:shd w:val="clear" w:color="000000" w:fill="FFFF00"/>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530.891,23</w:t>
            </w:r>
          </w:p>
        </w:tc>
        <w:tc>
          <w:tcPr>
            <w:tcW w:w="1098" w:type="dxa"/>
            <w:tcBorders>
              <w:top w:val="single" w:sz="4" w:space="0" w:color="auto"/>
              <w:left w:val="nil"/>
              <w:bottom w:val="single" w:sz="4" w:space="0" w:color="auto"/>
              <w:right w:val="single" w:sz="4" w:space="0" w:color="auto"/>
            </w:tcBorders>
            <w:shd w:val="clear" w:color="000000" w:fill="FFFF00"/>
            <w:noWrap/>
            <w:vAlign w:val="bottom"/>
          </w:tcPr>
          <w:p>
            <w:pPr>
              <w:spacing w:after="0" w:line="240" w:lineRule="auto"/>
              <w:jc w:val="right"/>
              <w:rPr>
                <w:rFonts w:ascii="Arial" w:eastAsia="Times New Roman" w:hAnsi="Arial" w:cs="Arial"/>
                <w:b/>
                <w:bCs/>
                <w:sz w:val="16"/>
                <w:szCs w:val="16"/>
                <w:lang w:eastAsia="hr-HR"/>
              </w:rPr>
            </w:pPr>
          </w:p>
        </w:tc>
        <w:tc>
          <w:tcPr>
            <w:tcW w:w="1098" w:type="dxa"/>
            <w:tcBorders>
              <w:top w:val="single" w:sz="4" w:space="0" w:color="auto"/>
              <w:left w:val="nil"/>
              <w:bottom w:val="single" w:sz="4" w:space="0" w:color="auto"/>
              <w:right w:val="single" w:sz="4" w:space="0" w:color="auto"/>
            </w:tcBorders>
            <w:shd w:val="clear" w:color="000000" w:fill="FFFF00"/>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 </w:t>
            </w:r>
          </w:p>
        </w:tc>
        <w:tc>
          <w:tcPr>
            <w:tcW w:w="841" w:type="dxa"/>
            <w:tcBorders>
              <w:top w:val="single" w:sz="4" w:space="0" w:color="auto"/>
              <w:left w:val="nil"/>
              <w:bottom w:val="single" w:sz="4" w:space="0" w:color="auto"/>
              <w:right w:val="single" w:sz="4" w:space="0" w:color="auto"/>
            </w:tcBorders>
            <w:shd w:val="clear" w:color="000000" w:fill="FFFF00"/>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 </w:t>
            </w:r>
          </w:p>
        </w:tc>
        <w:tc>
          <w:tcPr>
            <w:tcW w:w="790" w:type="dxa"/>
            <w:tcBorders>
              <w:top w:val="single" w:sz="4" w:space="0" w:color="auto"/>
              <w:left w:val="nil"/>
              <w:bottom w:val="single" w:sz="4" w:space="0" w:color="auto"/>
              <w:right w:val="single" w:sz="4" w:space="0" w:color="auto"/>
            </w:tcBorders>
            <w:shd w:val="clear" w:color="000000" w:fill="FFFF00"/>
            <w:noWrap/>
            <w:vAlign w:val="bottom"/>
            <w:hideMark/>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 </w:t>
            </w: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7.1. PRIMICI OD DUGOROČNOG ZADUŽIVANJA</w:t>
            </w:r>
          </w:p>
        </w:tc>
        <w:tc>
          <w:tcPr>
            <w:tcW w:w="1098"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530.891,23</w:t>
            </w: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98"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 </w:t>
            </w:r>
          </w:p>
        </w:tc>
        <w:tc>
          <w:tcPr>
            <w:tcW w:w="841"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 </w:t>
            </w:r>
          </w:p>
        </w:tc>
        <w:tc>
          <w:tcPr>
            <w:tcW w:w="790"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 </w:t>
            </w: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tcPr>
          <w:p>
            <w:pPr>
              <w:spacing w:after="0" w:line="240" w:lineRule="auto"/>
              <w:rPr>
                <w:rFonts w:ascii="Arial" w:eastAsia="Times New Roman" w:hAnsi="Arial" w:cs="Arial"/>
                <w:b/>
                <w:sz w:val="16"/>
                <w:szCs w:val="16"/>
                <w:lang w:eastAsia="hr-HR"/>
              </w:rPr>
            </w:pPr>
            <w:r>
              <w:rPr>
                <w:rFonts w:ascii="Arial" w:eastAsia="Times New Roman" w:hAnsi="Arial" w:cs="Arial"/>
                <w:b/>
                <w:color w:val="FFFFFF" w:themeColor="background1"/>
                <w:sz w:val="16"/>
                <w:szCs w:val="16"/>
                <w:lang w:eastAsia="hr-HR"/>
              </w:rPr>
              <w:t>UKUPNI IZDACI</w:t>
            </w:r>
          </w:p>
        </w:tc>
        <w:tc>
          <w:tcPr>
            <w:tcW w:w="1098"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color w:val="FFFFFF" w:themeColor="background1"/>
                <w:sz w:val="16"/>
                <w:szCs w:val="16"/>
                <w:lang w:eastAsia="hr-HR"/>
              </w:rPr>
            </w:pPr>
          </w:p>
        </w:tc>
        <w:tc>
          <w:tcPr>
            <w:tcW w:w="1098"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color w:val="FFFFFF" w:themeColor="background1"/>
                <w:sz w:val="16"/>
                <w:szCs w:val="16"/>
                <w:lang w:eastAsia="hr-HR"/>
              </w:rPr>
            </w:pPr>
            <w:r>
              <w:rPr>
                <w:rFonts w:ascii="Arial" w:eastAsia="Times New Roman" w:hAnsi="Arial" w:cs="Arial"/>
                <w:color w:val="FFFFFF" w:themeColor="background1"/>
                <w:sz w:val="16"/>
                <w:szCs w:val="16"/>
                <w:lang w:eastAsia="hr-HR"/>
              </w:rPr>
              <w:t>69.500,00</w:t>
            </w:r>
          </w:p>
        </w:tc>
        <w:tc>
          <w:tcPr>
            <w:tcW w:w="1098"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color w:val="FFFFFF" w:themeColor="background1"/>
                <w:sz w:val="16"/>
                <w:szCs w:val="16"/>
                <w:lang w:eastAsia="hr-HR"/>
              </w:rPr>
            </w:pPr>
            <w:r>
              <w:rPr>
                <w:rFonts w:ascii="Arial" w:eastAsia="Times New Roman" w:hAnsi="Arial" w:cs="Arial"/>
                <w:color w:val="FFFFFF" w:themeColor="background1"/>
                <w:sz w:val="16"/>
                <w:szCs w:val="16"/>
                <w:lang w:eastAsia="hr-HR"/>
              </w:rPr>
              <w:t>31.600,65</w:t>
            </w:r>
          </w:p>
        </w:tc>
        <w:tc>
          <w:tcPr>
            <w:tcW w:w="841"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color w:val="FFFFFF" w:themeColor="background1"/>
                <w:sz w:val="16"/>
                <w:szCs w:val="16"/>
                <w:lang w:eastAsia="hr-HR"/>
              </w:rPr>
            </w:pPr>
          </w:p>
        </w:tc>
        <w:tc>
          <w:tcPr>
            <w:tcW w:w="790"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color w:val="FFFFFF" w:themeColor="background1"/>
                <w:sz w:val="16"/>
                <w:szCs w:val="16"/>
                <w:lang w:eastAsia="hr-HR"/>
              </w:rPr>
            </w:pPr>
            <w:r>
              <w:rPr>
                <w:rFonts w:ascii="Arial" w:eastAsia="Times New Roman" w:hAnsi="Arial" w:cs="Arial"/>
                <w:color w:val="FFFFFF" w:themeColor="background1"/>
                <w:sz w:val="16"/>
                <w:szCs w:val="16"/>
                <w:lang w:eastAsia="hr-HR"/>
              </w:rPr>
              <w:t>45,47%</w:t>
            </w: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auto" w:fill="FFFF00"/>
            <w:noWrap/>
            <w:vAlign w:val="bottom"/>
          </w:tcPr>
          <w:p>
            <w:pPr>
              <w:spacing w:after="0" w:line="240" w:lineRule="auto"/>
              <w:rPr>
                <w:rFonts w:ascii="Arial" w:eastAsia="Times New Roman" w:hAnsi="Arial" w:cs="Arial"/>
                <w:b/>
                <w:sz w:val="16"/>
                <w:szCs w:val="16"/>
                <w:lang w:eastAsia="hr-HR"/>
              </w:rPr>
            </w:pPr>
            <w:r>
              <w:rPr>
                <w:rFonts w:ascii="Arial" w:eastAsia="Times New Roman" w:hAnsi="Arial" w:cs="Arial"/>
                <w:b/>
                <w:sz w:val="16"/>
                <w:szCs w:val="16"/>
                <w:lang w:eastAsia="hr-HR"/>
              </w:rPr>
              <w:t xml:space="preserve">1.OPĆI PRIHODI I PRIMICI </w:t>
            </w:r>
          </w:p>
        </w:tc>
        <w:tc>
          <w:tcPr>
            <w:tcW w:w="1098" w:type="dxa"/>
            <w:tcBorders>
              <w:top w:val="single" w:sz="4" w:space="0" w:color="auto"/>
              <w:left w:val="nil"/>
              <w:bottom w:val="single" w:sz="4" w:space="0" w:color="auto"/>
              <w:right w:val="single" w:sz="4" w:space="0" w:color="auto"/>
            </w:tcBorders>
            <w:shd w:val="clear" w:color="auto" w:fill="FFFF00"/>
            <w:noWrap/>
            <w:vAlign w:val="bottom"/>
          </w:tcPr>
          <w:p>
            <w:pPr>
              <w:spacing w:after="0" w:line="240" w:lineRule="auto"/>
              <w:jc w:val="right"/>
              <w:rPr>
                <w:rFonts w:ascii="Arial" w:eastAsia="Times New Roman" w:hAnsi="Arial" w:cs="Arial"/>
                <w:sz w:val="16"/>
                <w:szCs w:val="16"/>
                <w:lang w:eastAsia="hr-HR"/>
              </w:rPr>
            </w:pPr>
          </w:p>
        </w:tc>
        <w:tc>
          <w:tcPr>
            <w:tcW w:w="1098" w:type="dxa"/>
            <w:tcBorders>
              <w:top w:val="single" w:sz="4" w:space="0" w:color="auto"/>
              <w:left w:val="nil"/>
              <w:bottom w:val="single" w:sz="4" w:space="0" w:color="auto"/>
              <w:right w:val="single" w:sz="4" w:space="0" w:color="auto"/>
            </w:tcBorders>
            <w:shd w:val="clear" w:color="auto" w:fill="FFFF00"/>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69.500,00</w:t>
            </w:r>
          </w:p>
        </w:tc>
        <w:tc>
          <w:tcPr>
            <w:tcW w:w="1098" w:type="dxa"/>
            <w:tcBorders>
              <w:top w:val="single" w:sz="4" w:space="0" w:color="auto"/>
              <w:left w:val="nil"/>
              <w:bottom w:val="single" w:sz="4" w:space="0" w:color="auto"/>
              <w:right w:val="single" w:sz="4" w:space="0" w:color="auto"/>
            </w:tcBorders>
            <w:shd w:val="clear" w:color="auto" w:fill="FFFF00"/>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31.600,65</w:t>
            </w:r>
          </w:p>
        </w:tc>
        <w:tc>
          <w:tcPr>
            <w:tcW w:w="841" w:type="dxa"/>
            <w:tcBorders>
              <w:top w:val="single" w:sz="4" w:space="0" w:color="auto"/>
              <w:left w:val="nil"/>
              <w:bottom w:val="single" w:sz="4" w:space="0" w:color="auto"/>
              <w:right w:val="single" w:sz="4" w:space="0" w:color="auto"/>
            </w:tcBorders>
            <w:shd w:val="clear" w:color="auto" w:fill="FFFF00"/>
            <w:noWrap/>
            <w:vAlign w:val="bottom"/>
          </w:tcPr>
          <w:p>
            <w:pPr>
              <w:spacing w:after="0" w:line="240" w:lineRule="auto"/>
              <w:jc w:val="right"/>
              <w:rPr>
                <w:rFonts w:ascii="Arial" w:eastAsia="Times New Roman" w:hAnsi="Arial" w:cs="Arial"/>
                <w:sz w:val="16"/>
                <w:szCs w:val="16"/>
                <w:lang w:eastAsia="hr-HR"/>
              </w:rPr>
            </w:pPr>
          </w:p>
        </w:tc>
        <w:tc>
          <w:tcPr>
            <w:tcW w:w="790" w:type="dxa"/>
            <w:tcBorders>
              <w:top w:val="single" w:sz="4" w:space="0" w:color="auto"/>
              <w:left w:val="nil"/>
              <w:bottom w:val="single" w:sz="4" w:space="0" w:color="auto"/>
              <w:right w:val="single" w:sz="4" w:space="0" w:color="auto"/>
            </w:tcBorders>
            <w:shd w:val="clear" w:color="auto" w:fill="FFFF00"/>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45,47%</w:t>
            </w: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1.1.PRIHODI OD POREZA</w:t>
            </w: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69.500,00</w:t>
            </w: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31.600,65</w:t>
            </w:r>
          </w:p>
        </w:tc>
        <w:tc>
          <w:tcPr>
            <w:tcW w:w="8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790"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45,47%</w:t>
            </w: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000000" w:fill="808080"/>
            <w:noWrap/>
            <w:vAlign w:val="bottom"/>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NETO FINANCIRANJE</w:t>
            </w:r>
          </w:p>
        </w:tc>
        <w:tc>
          <w:tcPr>
            <w:tcW w:w="1098"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530.891,23</w:t>
            </w:r>
          </w:p>
        </w:tc>
        <w:tc>
          <w:tcPr>
            <w:tcW w:w="1098"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-69.500,00</w:t>
            </w:r>
          </w:p>
        </w:tc>
        <w:tc>
          <w:tcPr>
            <w:tcW w:w="1098"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-31.600,65</w:t>
            </w:r>
          </w:p>
        </w:tc>
        <w:tc>
          <w:tcPr>
            <w:tcW w:w="841"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p>
        </w:tc>
        <w:tc>
          <w:tcPr>
            <w:tcW w:w="790" w:type="dxa"/>
            <w:tcBorders>
              <w:top w:val="single" w:sz="4" w:space="0" w:color="auto"/>
              <w:left w:val="nil"/>
              <w:bottom w:val="single" w:sz="4" w:space="0" w:color="auto"/>
              <w:right w:val="single" w:sz="4" w:space="0" w:color="auto"/>
            </w:tcBorders>
            <w:shd w:val="clear" w:color="000000" w:fill="808080"/>
            <w:noWrap/>
            <w:vAlign w:val="bottom"/>
          </w:tcPr>
          <w:p>
            <w:pPr>
              <w:spacing w:after="0" w:line="240" w:lineRule="auto"/>
              <w:jc w:val="right"/>
              <w:rPr>
                <w:rFonts w:ascii="Arial" w:eastAsia="Times New Roman" w:hAnsi="Arial" w:cs="Arial"/>
                <w:b/>
                <w:bCs/>
                <w:color w:val="FFFFFF"/>
                <w:sz w:val="16"/>
                <w:szCs w:val="16"/>
                <w:lang w:eastAsia="hr-HR"/>
              </w:rPr>
            </w:pP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bottom"/>
          </w:tcPr>
          <w:p>
            <w:pPr>
              <w:spacing w:after="0" w:line="240" w:lineRule="auto"/>
              <w:rPr>
                <w:rFonts w:ascii="Arial" w:eastAsia="Times New Roman" w:hAnsi="Arial" w:cs="Arial"/>
                <w:b/>
                <w:bCs/>
                <w:color w:val="FFFFFF" w:themeColor="background1"/>
                <w:sz w:val="16"/>
                <w:szCs w:val="16"/>
                <w:lang w:eastAsia="hr-HR"/>
              </w:rPr>
            </w:pPr>
            <w:r>
              <w:rPr>
                <w:rFonts w:ascii="Arial" w:eastAsia="Times New Roman" w:hAnsi="Arial" w:cs="Arial"/>
                <w:b/>
                <w:bCs/>
                <w:color w:val="FFFFFF" w:themeColor="background1"/>
                <w:sz w:val="16"/>
                <w:szCs w:val="16"/>
                <w:lang w:eastAsia="hr-HR"/>
              </w:rPr>
              <w:t>KORIŠTENJE SREDSTAVA IZ PRETHODNIH GODINA</w:t>
            </w:r>
          </w:p>
        </w:tc>
        <w:tc>
          <w:tcPr>
            <w:tcW w:w="1098"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b/>
                <w:bCs/>
                <w:color w:val="FFFFFF" w:themeColor="background1"/>
                <w:sz w:val="16"/>
                <w:szCs w:val="16"/>
                <w:lang w:eastAsia="hr-HR"/>
              </w:rPr>
            </w:pPr>
          </w:p>
        </w:tc>
        <w:tc>
          <w:tcPr>
            <w:tcW w:w="1098"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b/>
                <w:bCs/>
                <w:color w:val="FFFFFF" w:themeColor="background1"/>
                <w:sz w:val="16"/>
                <w:szCs w:val="16"/>
                <w:lang w:eastAsia="hr-HR"/>
              </w:rPr>
            </w:pPr>
            <w:r>
              <w:rPr>
                <w:rFonts w:ascii="Arial" w:eastAsia="Times New Roman" w:hAnsi="Arial" w:cs="Arial"/>
                <w:b/>
                <w:bCs/>
                <w:color w:val="FFFFFF" w:themeColor="background1"/>
                <w:sz w:val="16"/>
                <w:szCs w:val="16"/>
                <w:lang w:eastAsia="hr-HR"/>
              </w:rPr>
              <w:t>132.700,00</w:t>
            </w:r>
          </w:p>
        </w:tc>
        <w:tc>
          <w:tcPr>
            <w:tcW w:w="1098"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b/>
                <w:bCs/>
                <w:color w:val="FFFFFF" w:themeColor="background1"/>
                <w:sz w:val="16"/>
                <w:szCs w:val="16"/>
                <w:lang w:eastAsia="hr-HR"/>
              </w:rPr>
            </w:pPr>
          </w:p>
        </w:tc>
        <w:tc>
          <w:tcPr>
            <w:tcW w:w="841"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b/>
                <w:bCs/>
                <w:color w:val="FFFFFF" w:themeColor="background1"/>
                <w:sz w:val="16"/>
                <w:szCs w:val="16"/>
                <w:lang w:eastAsia="hr-HR"/>
              </w:rPr>
            </w:pPr>
          </w:p>
        </w:tc>
        <w:tc>
          <w:tcPr>
            <w:tcW w:w="790" w:type="dxa"/>
            <w:tcBorders>
              <w:top w:val="single" w:sz="4" w:space="0" w:color="auto"/>
              <w:left w:val="nil"/>
              <w:bottom w:val="single" w:sz="4" w:space="0" w:color="auto"/>
              <w:right w:val="single" w:sz="4" w:space="0" w:color="auto"/>
            </w:tcBorders>
            <w:shd w:val="clear" w:color="auto" w:fill="7F7F7F" w:themeFill="text1" w:themeFillTint="80"/>
            <w:noWrap/>
            <w:vAlign w:val="bottom"/>
          </w:tcPr>
          <w:p>
            <w:pPr>
              <w:spacing w:after="0" w:line="240" w:lineRule="auto"/>
              <w:jc w:val="right"/>
              <w:rPr>
                <w:rFonts w:ascii="Arial" w:eastAsia="Times New Roman" w:hAnsi="Arial" w:cs="Arial"/>
                <w:b/>
                <w:bCs/>
                <w:color w:val="FFFFFF" w:themeColor="background1"/>
                <w:sz w:val="16"/>
                <w:szCs w:val="16"/>
                <w:lang w:eastAsia="hr-HR"/>
              </w:rPr>
            </w:pP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lastRenderedPageBreak/>
              <w:t>8. NAMJENSKI IZVORI ZA PROGRAM GRAĐENJA</w:t>
            </w: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132.700,00</w:t>
            </w: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8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c>
          <w:tcPr>
            <w:tcW w:w="790"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p>
        </w:tc>
      </w:tr>
      <w:tr>
        <w:trPr>
          <w:trHeight w:val="274"/>
          <w:jc w:val="center"/>
        </w:trPr>
        <w:tc>
          <w:tcPr>
            <w:tcW w:w="5205"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bCs/>
                <w:sz w:val="16"/>
                <w:szCs w:val="16"/>
                <w:lang w:eastAsia="hr-HR"/>
              </w:rPr>
            </w:pPr>
            <w:r>
              <w:rPr>
                <w:rFonts w:ascii="Arial" w:eastAsia="Times New Roman" w:hAnsi="Arial" w:cs="Arial"/>
                <w:bCs/>
                <w:sz w:val="16"/>
                <w:szCs w:val="16"/>
                <w:lang w:eastAsia="hr-HR"/>
              </w:rPr>
              <w:t>8.2. VIŠAK PRIHODA OD KREDITA IZ PRETHODNE GODINE</w:t>
            </w: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r>
              <w:rPr>
                <w:rFonts w:ascii="Arial" w:eastAsia="Times New Roman" w:hAnsi="Arial" w:cs="Arial"/>
                <w:bCs/>
                <w:sz w:val="16"/>
                <w:szCs w:val="16"/>
                <w:lang w:eastAsia="hr-HR"/>
              </w:rPr>
              <w:t>132.700,00</w:t>
            </w:r>
          </w:p>
        </w:tc>
        <w:tc>
          <w:tcPr>
            <w:tcW w:w="1098"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p>
        </w:tc>
        <w:tc>
          <w:tcPr>
            <w:tcW w:w="8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p>
        </w:tc>
        <w:tc>
          <w:tcPr>
            <w:tcW w:w="790"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bCs/>
                <w:sz w:val="16"/>
                <w:szCs w:val="16"/>
                <w:lang w:eastAsia="hr-HR"/>
              </w:rPr>
            </w:pPr>
          </w:p>
        </w:tc>
      </w:tr>
    </w:tbl>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pStyle w:val="Odlomakpopisa"/>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t>POSEBAN DIO</w:t>
      </w:r>
    </w:p>
    <w:p>
      <w:pPr>
        <w:jc w:val="center"/>
        <w:rPr>
          <w:rFonts w:ascii="Times New Roman" w:hAnsi="Times New Roman" w:cs="Times New Roman"/>
          <w:b/>
          <w:sz w:val="24"/>
          <w:szCs w:val="24"/>
        </w:rPr>
      </w:pPr>
      <w:r>
        <w:rPr>
          <w:rFonts w:ascii="Times New Roman" w:hAnsi="Times New Roman" w:cs="Times New Roman"/>
          <w:b/>
          <w:sz w:val="24"/>
          <w:szCs w:val="24"/>
        </w:rPr>
        <w:t>Članak 3.</w:t>
      </w:r>
    </w:p>
    <w:p>
      <w:pPr>
        <w:rPr>
          <w:rFonts w:ascii="Times New Roman" w:hAnsi="Times New Roman" w:cs="Times New Roman"/>
          <w:sz w:val="24"/>
          <w:szCs w:val="24"/>
        </w:rPr>
      </w:pPr>
      <w:r>
        <w:rPr>
          <w:rFonts w:ascii="Times New Roman" w:hAnsi="Times New Roman" w:cs="Times New Roman"/>
          <w:sz w:val="24"/>
          <w:szCs w:val="24"/>
        </w:rPr>
        <w:t>Rashodi i izdaci utvrđeni u Posebnom dijelu Općine Bilice za izvještajno razdoblje od 01.01. do 30.06.2023. godine, iskazani po organizacijskoj i programskoj klasifikaciji izvršeni su kako slijedi:</w:t>
      </w:r>
    </w:p>
    <w:p>
      <w:pPr>
        <w:pStyle w:val="Odlomakpopisa"/>
        <w:numPr>
          <w:ilvl w:val="0"/>
          <w:numId w:val="3"/>
        </w:numPr>
        <w:rPr>
          <w:rFonts w:ascii="Times New Roman" w:hAnsi="Times New Roman" w:cs="Times New Roman"/>
          <w:b/>
          <w:sz w:val="24"/>
          <w:szCs w:val="24"/>
        </w:rPr>
      </w:pPr>
      <w:r>
        <w:rPr>
          <w:rFonts w:ascii="Times New Roman" w:hAnsi="Times New Roman" w:cs="Times New Roman"/>
          <w:b/>
          <w:sz w:val="24"/>
          <w:szCs w:val="24"/>
        </w:rPr>
        <w:t>IZVRŠENJE PO ORGANIZACIJSKOJ KLASIFIKACIJI</w:t>
      </w:r>
    </w:p>
    <w:tbl>
      <w:tblPr>
        <w:tblW w:w="10017" w:type="dxa"/>
        <w:jc w:val="center"/>
        <w:tblLook w:val="04A0" w:firstRow="1" w:lastRow="0" w:firstColumn="1" w:lastColumn="0" w:noHBand="0" w:noVBand="1"/>
      </w:tblPr>
      <w:tblGrid>
        <w:gridCol w:w="1188"/>
        <w:gridCol w:w="957"/>
        <w:gridCol w:w="4749"/>
        <w:gridCol w:w="1151"/>
        <w:gridCol w:w="1041"/>
        <w:gridCol w:w="1041"/>
      </w:tblGrid>
      <w:tr>
        <w:trPr>
          <w:trHeight w:val="272"/>
          <w:jc w:val="center"/>
        </w:trPr>
        <w:tc>
          <w:tcPr>
            <w:tcW w:w="2145" w:type="dxa"/>
            <w:gridSpan w:val="2"/>
            <w:tcBorders>
              <w:top w:val="single" w:sz="4" w:space="0" w:color="auto"/>
              <w:left w:val="single" w:sz="4" w:space="0" w:color="auto"/>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RGP</w:t>
            </w:r>
          </w:p>
        </w:tc>
        <w:tc>
          <w:tcPr>
            <w:tcW w:w="4749"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Opis</w:t>
            </w:r>
          </w:p>
        </w:tc>
        <w:tc>
          <w:tcPr>
            <w:tcW w:w="1041"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Izvorni plan 2023 €</w:t>
            </w:r>
          </w:p>
        </w:tc>
        <w:tc>
          <w:tcPr>
            <w:tcW w:w="1041"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Izvršenje 2023 €</w:t>
            </w:r>
          </w:p>
        </w:tc>
        <w:tc>
          <w:tcPr>
            <w:tcW w:w="1041"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Indeks 2/1</w:t>
            </w:r>
          </w:p>
        </w:tc>
      </w:tr>
      <w:tr>
        <w:trPr>
          <w:trHeight w:val="272"/>
          <w:jc w:val="center"/>
        </w:trPr>
        <w:tc>
          <w:tcPr>
            <w:tcW w:w="2145" w:type="dxa"/>
            <w:gridSpan w:val="2"/>
            <w:tcBorders>
              <w:top w:val="single" w:sz="4" w:space="0" w:color="auto"/>
              <w:left w:val="single" w:sz="4" w:space="0" w:color="auto"/>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 </w:t>
            </w:r>
          </w:p>
        </w:tc>
        <w:tc>
          <w:tcPr>
            <w:tcW w:w="4749"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 </w:t>
            </w:r>
          </w:p>
        </w:tc>
        <w:tc>
          <w:tcPr>
            <w:tcW w:w="1041"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1</w:t>
            </w:r>
          </w:p>
        </w:tc>
        <w:tc>
          <w:tcPr>
            <w:tcW w:w="1041"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2</w:t>
            </w:r>
          </w:p>
        </w:tc>
        <w:tc>
          <w:tcPr>
            <w:tcW w:w="1041" w:type="dxa"/>
            <w:tcBorders>
              <w:top w:val="single" w:sz="4" w:space="0" w:color="auto"/>
              <w:left w:val="nil"/>
              <w:bottom w:val="single" w:sz="4" w:space="0" w:color="auto"/>
              <w:right w:val="single" w:sz="4" w:space="0" w:color="auto"/>
            </w:tcBorders>
            <w:shd w:val="clear" w:color="000000" w:fill="969696"/>
            <w:noWrap/>
            <w:vAlign w:val="bottom"/>
            <w:hideMark/>
          </w:tcPr>
          <w:p>
            <w:pPr>
              <w:spacing w:after="0" w:line="240" w:lineRule="auto"/>
              <w:jc w:val="center"/>
              <w:rPr>
                <w:rFonts w:ascii="Arial" w:eastAsia="Times New Roman" w:hAnsi="Arial" w:cs="Arial"/>
                <w:b/>
                <w:bCs/>
                <w:sz w:val="16"/>
                <w:szCs w:val="16"/>
                <w:lang w:eastAsia="hr-HR"/>
              </w:rPr>
            </w:pPr>
            <w:r>
              <w:rPr>
                <w:rFonts w:ascii="Arial" w:eastAsia="Times New Roman" w:hAnsi="Arial" w:cs="Arial"/>
                <w:b/>
                <w:bCs/>
                <w:sz w:val="16"/>
                <w:szCs w:val="16"/>
                <w:lang w:eastAsia="hr-HR"/>
              </w:rPr>
              <w:t>3</w:t>
            </w:r>
          </w:p>
        </w:tc>
      </w:tr>
      <w:tr>
        <w:trPr>
          <w:trHeight w:val="272"/>
          <w:jc w:val="center"/>
        </w:trPr>
        <w:tc>
          <w:tcPr>
            <w:tcW w:w="2145" w:type="dxa"/>
            <w:gridSpan w:val="2"/>
            <w:tcBorders>
              <w:top w:val="single" w:sz="4" w:space="0" w:color="auto"/>
              <w:left w:val="single" w:sz="4" w:space="0" w:color="auto"/>
              <w:bottom w:val="single" w:sz="4" w:space="0" w:color="auto"/>
              <w:right w:val="single" w:sz="4" w:space="0" w:color="auto"/>
            </w:tcBorders>
            <w:shd w:val="clear" w:color="000000" w:fill="C0C0C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 </w:t>
            </w:r>
          </w:p>
        </w:tc>
        <w:tc>
          <w:tcPr>
            <w:tcW w:w="4749" w:type="dxa"/>
            <w:tcBorders>
              <w:top w:val="single" w:sz="4" w:space="0" w:color="auto"/>
              <w:left w:val="nil"/>
              <w:bottom w:val="single" w:sz="4" w:space="0" w:color="auto"/>
              <w:right w:val="single" w:sz="4" w:space="0" w:color="auto"/>
            </w:tcBorders>
            <w:shd w:val="clear" w:color="000000" w:fill="C0C0C0"/>
            <w:noWrap/>
            <w:vAlign w:val="bottom"/>
            <w:hideMark/>
          </w:tcPr>
          <w:p>
            <w:pPr>
              <w:spacing w:after="0" w:line="240" w:lineRule="auto"/>
              <w:rPr>
                <w:rFonts w:ascii="Arial" w:eastAsia="Times New Roman" w:hAnsi="Arial" w:cs="Arial"/>
                <w:b/>
                <w:bCs/>
                <w:sz w:val="16"/>
                <w:szCs w:val="16"/>
                <w:lang w:eastAsia="hr-HR"/>
              </w:rPr>
            </w:pPr>
            <w:r>
              <w:rPr>
                <w:rFonts w:ascii="Arial" w:eastAsia="Times New Roman" w:hAnsi="Arial" w:cs="Arial"/>
                <w:b/>
                <w:bCs/>
                <w:sz w:val="16"/>
                <w:szCs w:val="16"/>
                <w:lang w:eastAsia="hr-HR"/>
              </w:rPr>
              <w:t>UKUPNO RASHODI I IZDATCI</w:t>
            </w:r>
          </w:p>
        </w:tc>
        <w:tc>
          <w:tcPr>
            <w:tcW w:w="1041" w:type="dxa"/>
            <w:tcBorders>
              <w:top w:val="single" w:sz="4" w:space="0" w:color="auto"/>
              <w:left w:val="nil"/>
              <w:bottom w:val="single" w:sz="4" w:space="0" w:color="auto"/>
              <w:right w:val="single" w:sz="4" w:space="0" w:color="auto"/>
            </w:tcBorders>
            <w:shd w:val="clear" w:color="000000" w:fill="C0C0C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1.642.500,00</w:t>
            </w:r>
          </w:p>
        </w:tc>
        <w:tc>
          <w:tcPr>
            <w:tcW w:w="1041" w:type="dxa"/>
            <w:tcBorders>
              <w:top w:val="single" w:sz="4" w:space="0" w:color="auto"/>
              <w:left w:val="nil"/>
              <w:bottom w:val="single" w:sz="4" w:space="0" w:color="auto"/>
              <w:right w:val="single" w:sz="4" w:space="0" w:color="auto"/>
            </w:tcBorders>
            <w:shd w:val="clear" w:color="000000" w:fill="C0C0C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734.313,54</w:t>
            </w:r>
          </w:p>
        </w:tc>
        <w:tc>
          <w:tcPr>
            <w:tcW w:w="1041" w:type="dxa"/>
            <w:tcBorders>
              <w:top w:val="single" w:sz="4" w:space="0" w:color="auto"/>
              <w:left w:val="nil"/>
              <w:bottom w:val="single" w:sz="4" w:space="0" w:color="auto"/>
              <w:right w:val="single" w:sz="4" w:space="0" w:color="auto"/>
            </w:tcBorders>
            <w:shd w:val="clear" w:color="000000" w:fill="C0C0C0"/>
            <w:noWrap/>
            <w:vAlign w:val="bottom"/>
          </w:tcPr>
          <w:p>
            <w:pPr>
              <w:spacing w:after="0" w:line="240" w:lineRule="auto"/>
              <w:jc w:val="right"/>
              <w:rPr>
                <w:rFonts w:ascii="Arial" w:eastAsia="Times New Roman" w:hAnsi="Arial" w:cs="Arial"/>
                <w:b/>
                <w:bCs/>
                <w:sz w:val="16"/>
                <w:szCs w:val="16"/>
                <w:lang w:eastAsia="hr-HR"/>
              </w:rPr>
            </w:pPr>
            <w:r>
              <w:rPr>
                <w:rFonts w:ascii="Arial" w:eastAsia="Times New Roman" w:hAnsi="Arial" w:cs="Arial"/>
                <w:b/>
                <w:bCs/>
                <w:sz w:val="16"/>
                <w:szCs w:val="16"/>
                <w:lang w:eastAsia="hr-HR"/>
              </w:rPr>
              <w:t>44,71%</w:t>
            </w:r>
          </w:p>
        </w:tc>
      </w:tr>
      <w:tr>
        <w:trPr>
          <w:trHeight w:val="272"/>
          <w:jc w:val="center"/>
        </w:trPr>
        <w:tc>
          <w:tcPr>
            <w:tcW w:w="1188" w:type="dxa"/>
            <w:tcBorders>
              <w:top w:val="single" w:sz="4" w:space="0" w:color="auto"/>
              <w:left w:val="single" w:sz="4" w:space="0" w:color="auto"/>
              <w:bottom w:val="single" w:sz="4" w:space="0" w:color="auto"/>
              <w:right w:val="single" w:sz="4" w:space="0" w:color="auto"/>
            </w:tcBorders>
            <w:shd w:val="clear" w:color="000000" w:fill="000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Razdjel</w:t>
            </w:r>
          </w:p>
        </w:tc>
        <w:tc>
          <w:tcPr>
            <w:tcW w:w="956" w:type="dxa"/>
            <w:tcBorders>
              <w:top w:val="single" w:sz="4" w:space="0" w:color="auto"/>
              <w:left w:val="nil"/>
              <w:bottom w:val="single" w:sz="4" w:space="0" w:color="auto"/>
              <w:right w:val="single" w:sz="4" w:space="0" w:color="auto"/>
            </w:tcBorders>
            <w:shd w:val="clear" w:color="000000" w:fill="000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001</w:t>
            </w:r>
          </w:p>
        </w:tc>
        <w:tc>
          <w:tcPr>
            <w:tcW w:w="4749" w:type="dxa"/>
            <w:tcBorders>
              <w:top w:val="single" w:sz="4" w:space="0" w:color="auto"/>
              <w:left w:val="nil"/>
              <w:bottom w:val="single" w:sz="4" w:space="0" w:color="auto"/>
              <w:right w:val="single" w:sz="4" w:space="0" w:color="auto"/>
            </w:tcBorders>
            <w:shd w:val="clear" w:color="000000" w:fill="000080"/>
            <w:noWrap/>
            <w:vAlign w:val="bottom"/>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JEDINSTVENI UPRAVNI ODJEL</w:t>
            </w:r>
          </w:p>
        </w:tc>
        <w:tc>
          <w:tcPr>
            <w:tcW w:w="1041" w:type="dxa"/>
            <w:tcBorders>
              <w:top w:val="single" w:sz="4" w:space="0" w:color="auto"/>
              <w:left w:val="nil"/>
              <w:bottom w:val="single" w:sz="4" w:space="0" w:color="auto"/>
              <w:right w:val="single" w:sz="4" w:space="0" w:color="auto"/>
            </w:tcBorders>
            <w:shd w:val="clear" w:color="000000" w:fill="000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278.900,00</w:t>
            </w:r>
          </w:p>
        </w:tc>
        <w:tc>
          <w:tcPr>
            <w:tcW w:w="1041" w:type="dxa"/>
            <w:tcBorders>
              <w:top w:val="single" w:sz="4" w:space="0" w:color="auto"/>
              <w:left w:val="nil"/>
              <w:bottom w:val="single" w:sz="4" w:space="0" w:color="auto"/>
              <w:right w:val="single" w:sz="4" w:space="0" w:color="auto"/>
            </w:tcBorders>
            <w:shd w:val="clear" w:color="000000" w:fill="000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131.457,15</w:t>
            </w:r>
          </w:p>
        </w:tc>
        <w:tc>
          <w:tcPr>
            <w:tcW w:w="1041" w:type="dxa"/>
            <w:tcBorders>
              <w:top w:val="single" w:sz="4" w:space="0" w:color="auto"/>
              <w:left w:val="nil"/>
              <w:bottom w:val="single" w:sz="4" w:space="0" w:color="auto"/>
              <w:right w:val="single" w:sz="4" w:space="0" w:color="auto"/>
            </w:tcBorders>
            <w:shd w:val="clear" w:color="000000" w:fill="000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47,13%</w:t>
            </w:r>
          </w:p>
        </w:tc>
      </w:tr>
      <w:tr>
        <w:trPr>
          <w:trHeight w:val="272"/>
          <w:jc w:val="center"/>
        </w:trPr>
        <w:tc>
          <w:tcPr>
            <w:tcW w:w="11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Glava</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00101</w:t>
            </w:r>
          </w:p>
        </w:tc>
        <w:tc>
          <w:tcPr>
            <w:tcW w:w="474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JEDINSTVENI UPRAVNI ODJEL</w:t>
            </w:r>
          </w:p>
        </w:tc>
        <w:tc>
          <w:tcPr>
            <w:tcW w:w="10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278.900,00</w:t>
            </w:r>
          </w:p>
        </w:tc>
        <w:tc>
          <w:tcPr>
            <w:tcW w:w="10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131.457,15</w:t>
            </w:r>
          </w:p>
        </w:tc>
        <w:tc>
          <w:tcPr>
            <w:tcW w:w="10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47,13%</w:t>
            </w:r>
          </w:p>
        </w:tc>
      </w:tr>
      <w:tr>
        <w:trPr>
          <w:trHeight w:val="272"/>
          <w:jc w:val="center"/>
        </w:trPr>
        <w:tc>
          <w:tcPr>
            <w:tcW w:w="1188" w:type="dxa"/>
            <w:tcBorders>
              <w:top w:val="single" w:sz="4" w:space="0" w:color="auto"/>
              <w:left w:val="single" w:sz="4" w:space="0" w:color="auto"/>
              <w:bottom w:val="single" w:sz="4" w:space="0" w:color="auto"/>
              <w:right w:val="single" w:sz="4" w:space="0" w:color="auto"/>
            </w:tcBorders>
            <w:shd w:val="clear" w:color="000000" w:fill="000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Razdjel</w:t>
            </w:r>
          </w:p>
        </w:tc>
        <w:tc>
          <w:tcPr>
            <w:tcW w:w="956" w:type="dxa"/>
            <w:tcBorders>
              <w:top w:val="single" w:sz="4" w:space="0" w:color="auto"/>
              <w:left w:val="nil"/>
              <w:bottom w:val="single" w:sz="4" w:space="0" w:color="auto"/>
              <w:right w:val="single" w:sz="4" w:space="0" w:color="auto"/>
            </w:tcBorders>
            <w:shd w:val="clear" w:color="000000" w:fill="000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002</w:t>
            </w:r>
          </w:p>
        </w:tc>
        <w:tc>
          <w:tcPr>
            <w:tcW w:w="4749" w:type="dxa"/>
            <w:tcBorders>
              <w:top w:val="single" w:sz="4" w:space="0" w:color="auto"/>
              <w:left w:val="nil"/>
              <w:bottom w:val="single" w:sz="4" w:space="0" w:color="auto"/>
              <w:right w:val="single" w:sz="4" w:space="0" w:color="auto"/>
            </w:tcBorders>
            <w:shd w:val="clear" w:color="000000" w:fill="000080"/>
            <w:noWrap/>
            <w:vAlign w:val="bottom"/>
            <w:hideMark/>
          </w:tcPr>
          <w:p>
            <w:pPr>
              <w:spacing w:after="0" w:line="240" w:lineRule="auto"/>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URED NAČELNIKA</w:t>
            </w:r>
          </w:p>
        </w:tc>
        <w:tc>
          <w:tcPr>
            <w:tcW w:w="1041" w:type="dxa"/>
            <w:tcBorders>
              <w:top w:val="single" w:sz="4" w:space="0" w:color="auto"/>
              <w:left w:val="nil"/>
              <w:bottom w:val="single" w:sz="4" w:space="0" w:color="auto"/>
              <w:right w:val="single" w:sz="4" w:space="0" w:color="auto"/>
            </w:tcBorders>
            <w:shd w:val="clear" w:color="000000" w:fill="000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9.400,00</w:t>
            </w:r>
          </w:p>
        </w:tc>
        <w:tc>
          <w:tcPr>
            <w:tcW w:w="1041" w:type="dxa"/>
            <w:tcBorders>
              <w:top w:val="single" w:sz="4" w:space="0" w:color="auto"/>
              <w:left w:val="nil"/>
              <w:bottom w:val="single" w:sz="4" w:space="0" w:color="auto"/>
              <w:right w:val="single" w:sz="4" w:space="0" w:color="auto"/>
            </w:tcBorders>
            <w:shd w:val="clear" w:color="000000" w:fill="000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2.238,20</w:t>
            </w:r>
          </w:p>
        </w:tc>
        <w:tc>
          <w:tcPr>
            <w:tcW w:w="1041" w:type="dxa"/>
            <w:tcBorders>
              <w:top w:val="single" w:sz="4" w:space="0" w:color="auto"/>
              <w:left w:val="nil"/>
              <w:bottom w:val="single" w:sz="4" w:space="0" w:color="auto"/>
              <w:right w:val="single" w:sz="4" w:space="0" w:color="auto"/>
            </w:tcBorders>
            <w:shd w:val="clear" w:color="000000" w:fill="000080"/>
            <w:noWrap/>
            <w:vAlign w:val="bottom"/>
          </w:tcPr>
          <w:p>
            <w:pPr>
              <w:spacing w:after="0" w:line="240" w:lineRule="auto"/>
              <w:jc w:val="right"/>
              <w:rPr>
                <w:rFonts w:ascii="Arial" w:eastAsia="Times New Roman" w:hAnsi="Arial" w:cs="Arial"/>
                <w:b/>
                <w:bCs/>
                <w:color w:val="FFFFFF"/>
                <w:sz w:val="16"/>
                <w:szCs w:val="16"/>
                <w:lang w:eastAsia="hr-HR"/>
              </w:rPr>
            </w:pPr>
            <w:r>
              <w:rPr>
                <w:rFonts w:ascii="Arial" w:eastAsia="Times New Roman" w:hAnsi="Arial" w:cs="Arial"/>
                <w:b/>
                <w:bCs/>
                <w:color w:val="FFFFFF"/>
                <w:sz w:val="16"/>
                <w:szCs w:val="16"/>
                <w:lang w:eastAsia="hr-HR"/>
              </w:rPr>
              <w:t>23,81%</w:t>
            </w:r>
          </w:p>
        </w:tc>
      </w:tr>
      <w:tr>
        <w:trPr>
          <w:trHeight w:val="272"/>
          <w:jc w:val="center"/>
        </w:trPr>
        <w:tc>
          <w:tcPr>
            <w:tcW w:w="11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Glava</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00201</w:t>
            </w:r>
          </w:p>
        </w:tc>
        <w:tc>
          <w:tcPr>
            <w:tcW w:w="4749"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URED NAČELNIKA</w:t>
            </w:r>
          </w:p>
        </w:tc>
        <w:tc>
          <w:tcPr>
            <w:tcW w:w="10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9.400,00</w:t>
            </w:r>
          </w:p>
        </w:tc>
        <w:tc>
          <w:tcPr>
            <w:tcW w:w="10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2.238,20</w:t>
            </w:r>
          </w:p>
        </w:tc>
        <w:tc>
          <w:tcPr>
            <w:tcW w:w="10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23,81%</w:t>
            </w:r>
          </w:p>
        </w:tc>
      </w:tr>
      <w:tr>
        <w:trPr>
          <w:trHeight w:val="272"/>
          <w:jc w:val="center"/>
        </w:trPr>
        <w:tc>
          <w:tcPr>
            <w:tcW w:w="1188" w:type="dxa"/>
            <w:tcBorders>
              <w:top w:val="single" w:sz="4" w:space="0" w:color="auto"/>
              <w:left w:val="single" w:sz="4" w:space="0" w:color="auto"/>
              <w:bottom w:val="single" w:sz="4" w:space="0" w:color="auto"/>
              <w:right w:val="single" w:sz="4" w:space="0" w:color="auto"/>
            </w:tcBorders>
            <w:shd w:val="clear" w:color="auto" w:fill="000099"/>
            <w:noWrap/>
            <w:vAlign w:val="bottom"/>
          </w:tcPr>
          <w:p>
            <w:pPr>
              <w:spacing w:after="0" w:line="240" w:lineRule="auto"/>
              <w:rPr>
                <w:rFonts w:ascii="Arial" w:eastAsia="Times New Roman" w:hAnsi="Arial" w:cs="Arial"/>
                <w:color w:val="FFFFFF" w:themeColor="background1"/>
                <w:sz w:val="16"/>
                <w:szCs w:val="16"/>
                <w:lang w:eastAsia="hr-HR"/>
              </w:rPr>
            </w:pPr>
            <w:r>
              <w:rPr>
                <w:rFonts w:ascii="Arial" w:eastAsia="Times New Roman" w:hAnsi="Arial" w:cs="Arial"/>
                <w:color w:val="FFFFFF" w:themeColor="background1"/>
                <w:sz w:val="16"/>
                <w:szCs w:val="16"/>
                <w:lang w:eastAsia="hr-HR"/>
              </w:rPr>
              <w:t>Razdjel</w:t>
            </w:r>
          </w:p>
        </w:tc>
        <w:tc>
          <w:tcPr>
            <w:tcW w:w="956" w:type="dxa"/>
            <w:tcBorders>
              <w:top w:val="single" w:sz="4" w:space="0" w:color="auto"/>
              <w:left w:val="nil"/>
              <w:bottom w:val="single" w:sz="4" w:space="0" w:color="auto"/>
              <w:right w:val="single" w:sz="4" w:space="0" w:color="auto"/>
            </w:tcBorders>
            <w:shd w:val="clear" w:color="auto" w:fill="000099"/>
            <w:noWrap/>
            <w:vAlign w:val="bottom"/>
          </w:tcPr>
          <w:p>
            <w:pPr>
              <w:spacing w:after="0" w:line="240" w:lineRule="auto"/>
              <w:rPr>
                <w:rFonts w:ascii="Arial" w:eastAsia="Times New Roman" w:hAnsi="Arial" w:cs="Arial"/>
                <w:color w:val="FFFFFF" w:themeColor="background1"/>
                <w:sz w:val="16"/>
                <w:szCs w:val="16"/>
                <w:lang w:eastAsia="hr-HR"/>
              </w:rPr>
            </w:pPr>
            <w:r>
              <w:rPr>
                <w:rFonts w:ascii="Arial" w:eastAsia="Times New Roman" w:hAnsi="Arial" w:cs="Arial"/>
                <w:color w:val="FFFFFF" w:themeColor="background1"/>
                <w:sz w:val="16"/>
                <w:szCs w:val="16"/>
                <w:lang w:eastAsia="hr-HR"/>
              </w:rPr>
              <w:t>003</w:t>
            </w:r>
          </w:p>
        </w:tc>
        <w:tc>
          <w:tcPr>
            <w:tcW w:w="4749" w:type="dxa"/>
            <w:tcBorders>
              <w:top w:val="single" w:sz="4" w:space="0" w:color="auto"/>
              <w:left w:val="nil"/>
              <w:bottom w:val="single" w:sz="4" w:space="0" w:color="auto"/>
              <w:right w:val="single" w:sz="4" w:space="0" w:color="auto"/>
            </w:tcBorders>
            <w:shd w:val="clear" w:color="auto" w:fill="000099"/>
            <w:noWrap/>
            <w:vAlign w:val="bottom"/>
          </w:tcPr>
          <w:p>
            <w:pPr>
              <w:spacing w:after="0" w:line="240" w:lineRule="auto"/>
              <w:rPr>
                <w:rFonts w:ascii="Arial" w:eastAsia="Times New Roman" w:hAnsi="Arial" w:cs="Arial"/>
                <w:color w:val="FFFFFF" w:themeColor="background1"/>
                <w:sz w:val="16"/>
                <w:szCs w:val="16"/>
                <w:lang w:eastAsia="hr-HR"/>
              </w:rPr>
            </w:pPr>
            <w:r>
              <w:rPr>
                <w:rFonts w:ascii="Arial" w:eastAsia="Times New Roman" w:hAnsi="Arial" w:cs="Arial"/>
                <w:color w:val="FFFFFF" w:themeColor="background1"/>
                <w:sz w:val="16"/>
                <w:szCs w:val="16"/>
                <w:lang w:eastAsia="hr-HR"/>
              </w:rPr>
              <w:t>OPĆINSKO VIJEĆE</w:t>
            </w:r>
          </w:p>
        </w:tc>
        <w:tc>
          <w:tcPr>
            <w:tcW w:w="1041" w:type="dxa"/>
            <w:tcBorders>
              <w:top w:val="single" w:sz="4" w:space="0" w:color="auto"/>
              <w:left w:val="nil"/>
              <w:bottom w:val="single" w:sz="4" w:space="0" w:color="auto"/>
              <w:right w:val="single" w:sz="4" w:space="0" w:color="auto"/>
            </w:tcBorders>
            <w:shd w:val="clear" w:color="auto" w:fill="000099"/>
            <w:noWrap/>
            <w:vAlign w:val="bottom"/>
          </w:tcPr>
          <w:p>
            <w:pPr>
              <w:spacing w:after="0" w:line="240" w:lineRule="auto"/>
              <w:jc w:val="right"/>
              <w:rPr>
                <w:rFonts w:ascii="Arial" w:eastAsia="Times New Roman" w:hAnsi="Arial" w:cs="Arial"/>
                <w:color w:val="FFFFFF" w:themeColor="background1"/>
                <w:sz w:val="16"/>
                <w:szCs w:val="16"/>
                <w:lang w:eastAsia="hr-HR"/>
              </w:rPr>
            </w:pPr>
            <w:r>
              <w:rPr>
                <w:rFonts w:ascii="Arial" w:eastAsia="Times New Roman" w:hAnsi="Arial" w:cs="Arial"/>
                <w:color w:val="FFFFFF" w:themeColor="background1"/>
                <w:sz w:val="16"/>
                <w:szCs w:val="16"/>
                <w:lang w:eastAsia="hr-HR"/>
              </w:rPr>
              <w:t>1.354.200,00</w:t>
            </w:r>
          </w:p>
        </w:tc>
        <w:tc>
          <w:tcPr>
            <w:tcW w:w="1041" w:type="dxa"/>
            <w:tcBorders>
              <w:top w:val="single" w:sz="4" w:space="0" w:color="auto"/>
              <w:left w:val="nil"/>
              <w:bottom w:val="single" w:sz="4" w:space="0" w:color="auto"/>
              <w:right w:val="single" w:sz="4" w:space="0" w:color="auto"/>
            </w:tcBorders>
            <w:shd w:val="clear" w:color="auto" w:fill="000099"/>
            <w:noWrap/>
            <w:vAlign w:val="bottom"/>
          </w:tcPr>
          <w:p>
            <w:pPr>
              <w:spacing w:after="0" w:line="240" w:lineRule="auto"/>
              <w:jc w:val="right"/>
              <w:rPr>
                <w:rFonts w:ascii="Arial" w:eastAsia="Times New Roman" w:hAnsi="Arial" w:cs="Arial"/>
                <w:color w:val="FFFFFF" w:themeColor="background1"/>
                <w:sz w:val="16"/>
                <w:szCs w:val="16"/>
                <w:lang w:eastAsia="hr-HR"/>
              </w:rPr>
            </w:pPr>
            <w:r>
              <w:rPr>
                <w:rFonts w:ascii="Arial" w:eastAsia="Times New Roman" w:hAnsi="Arial" w:cs="Arial"/>
                <w:color w:val="FFFFFF" w:themeColor="background1"/>
                <w:sz w:val="16"/>
                <w:szCs w:val="16"/>
                <w:lang w:eastAsia="hr-HR"/>
              </w:rPr>
              <w:t>600.618,19</w:t>
            </w:r>
          </w:p>
        </w:tc>
        <w:tc>
          <w:tcPr>
            <w:tcW w:w="1041" w:type="dxa"/>
            <w:tcBorders>
              <w:top w:val="single" w:sz="4" w:space="0" w:color="auto"/>
              <w:left w:val="nil"/>
              <w:bottom w:val="single" w:sz="4" w:space="0" w:color="auto"/>
              <w:right w:val="single" w:sz="4" w:space="0" w:color="auto"/>
            </w:tcBorders>
            <w:shd w:val="clear" w:color="auto" w:fill="000099"/>
            <w:noWrap/>
            <w:vAlign w:val="bottom"/>
          </w:tcPr>
          <w:p>
            <w:pPr>
              <w:spacing w:after="0" w:line="240" w:lineRule="auto"/>
              <w:jc w:val="right"/>
              <w:rPr>
                <w:rFonts w:ascii="Arial" w:eastAsia="Times New Roman" w:hAnsi="Arial" w:cs="Arial"/>
                <w:color w:val="FFFFFF" w:themeColor="background1"/>
                <w:sz w:val="16"/>
                <w:szCs w:val="16"/>
                <w:lang w:eastAsia="hr-HR"/>
              </w:rPr>
            </w:pPr>
            <w:r>
              <w:rPr>
                <w:rFonts w:ascii="Arial" w:eastAsia="Times New Roman" w:hAnsi="Arial" w:cs="Arial"/>
                <w:color w:val="FFFFFF" w:themeColor="background1"/>
                <w:sz w:val="16"/>
                <w:szCs w:val="16"/>
                <w:lang w:eastAsia="hr-HR"/>
              </w:rPr>
              <w:t>44,35%</w:t>
            </w:r>
          </w:p>
        </w:tc>
      </w:tr>
      <w:tr>
        <w:trPr>
          <w:trHeight w:val="272"/>
          <w:jc w:val="center"/>
        </w:trPr>
        <w:tc>
          <w:tcPr>
            <w:tcW w:w="1188" w:type="dxa"/>
            <w:tcBorders>
              <w:top w:val="single" w:sz="4" w:space="0" w:color="auto"/>
              <w:left w:val="single" w:sz="4" w:space="0" w:color="auto"/>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Glava</w:t>
            </w:r>
          </w:p>
        </w:tc>
        <w:tc>
          <w:tcPr>
            <w:tcW w:w="956"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00301</w:t>
            </w:r>
          </w:p>
        </w:tc>
        <w:tc>
          <w:tcPr>
            <w:tcW w:w="4749"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rPr>
                <w:rFonts w:ascii="Arial" w:eastAsia="Times New Roman" w:hAnsi="Arial" w:cs="Arial"/>
                <w:sz w:val="16"/>
                <w:szCs w:val="16"/>
                <w:lang w:eastAsia="hr-HR"/>
              </w:rPr>
            </w:pPr>
            <w:r>
              <w:rPr>
                <w:rFonts w:ascii="Arial" w:eastAsia="Times New Roman" w:hAnsi="Arial" w:cs="Arial"/>
                <w:sz w:val="16"/>
                <w:szCs w:val="16"/>
                <w:lang w:eastAsia="hr-HR"/>
              </w:rPr>
              <w:t>OPĆINSKO VIJEĆE</w:t>
            </w:r>
          </w:p>
        </w:tc>
        <w:tc>
          <w:tcPr>
            <w:tcW w:w="10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1.354.200,00</w:t>
            </w:r>
          </w:p>
        </w:tc>
        <w:tc>
          <w:tcPr>
            <w:tcW w:w="10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600.618,19</w:t>
            </w:r>
          </w:p>
        </w:tc>
        <w:tc>
          <w:tcPr>
            <w:tcW w:w="1041" w:type="dxa"/>
            <w:tcBorders>
              <w:top w:val="single" w:sz="4" w:space="0" w:color="auto"/>
              <w:left w:val="nil"/>
              <w:bottom w:val="single" w:sz="4" w:space="0" w:color="auto"/>
              <w:right w:val="single" w:sz="4" w:space="0" w:color="auto"/>
            </w:tcBorders>
            <w:shd w:val="clear" w:color="auto" w:fill="auto"/>
            <w:noWrap/>
            <w:vAlign w:val="bottom"/>
          </w:tcPr>
          <w:p>
            <w:pPr>
              <w:spacing w:after="0" w:line="240" w:lineRule="auto"/>
              <w:jc w:val="right"/>
              <w:rPr>
                <w:rFonts w:ascii="Arial" w:eastAsia="Times New Roman" w:hAnsi="Arial" w:cs="Arial"/>
                <w:sz w:val="16"/>
                <w:szCs w:val="16"/>
                <w:lang w:eastAsia="hr-HR"/>
              </w:rPr>
            </w:pPr>
            <w:r>
              <w:rPr>
                <w:rFonts w:ascii="Arial" w:eastAsia="Times New Roman" w:hAnsi="Arial" w:cs="Arial"/>
                <w:sz w:val="16"/>
                <w:szCs w:val="16"/>
                <w:lang w:eastAsia="hr-HR"/>
              </w:rPr>
              <w:t>44,35%</w:t>
            </w:r>
          </w:p>
        </w:tc>
      </w:tr>
    </w:tbl>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sectPr>
          <w:pgSz w:w="11906" w:h="16838"/>
          <w:pgMar w:top="1417" w:right="1417" w:bottom="1417" w:left="1417" w:header="708" w:footer="708" w:gutter="0"/>
          <w:cols w:space="708"/>
          <w:docGrid w:linePitch="360"/>
        </w:sectPr>
      </w:pPr>
    </w:p>
    <w:p>
      <w:pPr>
        <w:pStyle w:val="Odlomakpopisa"/>
        <w:numPr>
          <w:ilvl w:val="0"/>
          <w:numId w:val="3"/>
        </w:numPr>
        <w:rPr>
          <w:rFonts w:ascii="Times New Roman" w:hAnsi="Times New Roman" w:cs="Times New Roman"/>
          <w:b/>
          <w:sz w:val="24"/>
          <w:szCs w:val="24"/>
        </w:rPr>
      </w:pPr>
      <w:r>
        <w:rPr>
          <w:rFonts w:ascii="Times New Roman" w:hAnsi="Times New Roman" w:cs="Times New Roman"/>
          <w:b/>
          <w:sz w:val="24"/>
          <w:szCs w:val="24"/>
        </w:rPr>
        <w:lastRenderedPageBreak/>
        <w:t>IZVRŠENJE PO PROGRAMSKOJ KLASIFIKACIJI</w:t>
      </w:r>
    </w:p>
    <w:p>
      <w:pPr>
        <w:rPr>
          <w:rFonts w:ascii="Times New Roman" w:hAnsi="Times New Roman" w:cs="Times New Roman"/>
          <w:b/>
          <w:sz w:val="24"/>
          <w:szCs w:val="24"/>
        </w:rPr>
      </w:pPr>
      <w:r>
        <w:rPr>
          <w:noProof/>
          <w:lang w:eastAsia="hr-HR"/>
        </w:rPr>
        <w:drawing>
          <wp:inline distT="0" distB="0" distL="0" distR="0">
            <wp:extent cx="8892540" cy="5023201"/>
            <wp:effectExtent l="0" t="0" r="3810" b="635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2540" cy="5023201"/>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5465659"/>
            <wp:effectExtent l="0" t="0" r="3810" b="1905"/>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2540" cy="5465659"/>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5465659"/>
            <wp:effectExtent l="0" t="0" r="3810" b="1905"/>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2540" cy="5465659"/>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5318173"/>
            <wp:effectExtent l="0" t="0" r="381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2540" cy="5318173"/>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5170687"/>
            <wp:effectExtent l="0" t="0" r="381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92540" cy="5170687"/>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5908117"/>
            <wp:effectExtent l="0" t="0" r="381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92540" cy="5908117"/>
                    </a:xfrm>
                    <a:prstGeom prst="rect">
                      <a:avLst/>
                    </a:prstGeom>
                    <a:noFill/>
                    <a:ln>
                      <a:noFill/>
                    </a:ln>
                  </pic:spPr>
                </pic:pic>
              </a:graphicData>
            </a:graphic>
          </wp:inline>
        </w:drawing>
      </w:r>
    </w:p>
    <w:p>
      <w:pPr>
        <w:rPr>
          <w:rFonts w:ascii="Times New Roman" w:hAnsi="Times New Roman" w:cs="Times New Roman"/>
          <w:b/>
          <w:sz w:val="24"/>
          <w:szCs w:val="24"/>
        </w:rPr>
      </w:pPr>
      <w:r>
        <w:rPr>
          <w:noProof/>
          <w:lang w:eastAsia="hr-HR"/>
        </w:rPr>
        <w:lastRenderedPageBreak/>
        <w:drawing>
          <wp:inline distT="0" distB="0" distL="0" distR="0">
            <wp:extent cx="8892540" cy="5760631"/>
            <wp:effectExtent l="0" t="0" r="3810"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2540" cy="5760631"/>
                    </a:xfrm>
                    <a:prstGeom prst="rect">
                      <a:avLst/>
                    </a:prstGeom>
                    <a:noFill/>
                    <a:ln>
                      <a:noFill/>
                    </a:ln>
                  </pic:spPr>
                </pic:pic>
              </a:graphicData>
            </a:graphic>
          </wp:inline>
        </w:drawing>
      </w:r>
    </w:p>
    <w:p>
      <w:pPr>
        <w:rPr>
          <w:rFonts w:ascii="Times New Roman" w:hAnsi="Times New Roman" w:cs="Times New Roman"/>
          <w:b/>
          <w:sz w:val="24"/>
          <w:szCs w:val="24"/>
        </w:rPr>
      </w:pPr>
      <w:r>
        <w:rPr>
          <w:noProof/>
          <w:lang w:eastAsia="hr-HR"/>
        </w:rPr>
        <w:lastRenderedPageBreak/>
        <w:drawing>
          <wp:inline distT="0" distB="0" distL="0" distR="0">
            <wp:extent cx="8892540" cy="5465659"/>
            <wp:effectExtent l="0" t="0" r="3810" b="190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92540" cy="5465659"/>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5465659"/>
            <wp:effectExtent l="0" t="0" r="3810" b="1905"/>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92540" cy="5465659"/>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5613145"/>
            <wp:effectExtent l="0" t="0" r="3810" b="6985"/>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92540" cy="5613145"/>
                    </a:xfrm>
                    <a:prstGeom prst="rect">
                      <a:avLst/>
                    </a:prstGeom>
                    <a:noFill/>
                    <a:ln>
                      <a:noFill/>
                    </a:ln>
                  </pic:spPr>
                </pic:pic>
              </a:graphicData>
            </a:graphic>
          </wp:inline>
        </w:drawing>
      </w:r>
    </w:p>
    <w:p>
      <w:pPr>
        <w:rPr>
          <w:rFonts w:ascii="Times New Roman" w:hAnsi="Times New Roman" w:cs="Times New Roman"/>
          <w:b/>
          <w:sz w:val="24"/>
          <w:szCs w:val="24"/>
        </w:rPr>
      </w:pPr>
      <w:r>
        <w:rPr>
          <w:noProof/>
          <w:lang w:eastAsia="hr-HR"/>
        </w:rPr>
        <w:lastRenderedPageBreak/>
        <w:drawing>
          <wp:inline distT="0" distB="0" distL="0" distR="0">
            <wp:extent cx="8892540" cy="5318173"/>
            <wp:effectExtent l="0" t="0" r="3810" b="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92540" cy="5318173"/>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5465659"/>
            <wp:effectExtent l="0" t="0" r="3810" b="1905"/>
            <wp:docPr id="14"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92540" cy="5465659"/>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5465659"/>
            <wp:effectExtent l="0" t="0" r="3810" b="1905"/>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92540" cy="5465659"/>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r>
        <w:rPr>
          <w:noProof/>
          <w:lang w:eastAsia="hr-HR"/>
        </w:rPr>
        <w:lastRenderedPageBreak/>
        <w:drawing>
          <wp:inline distT="0" distB="0" distL="0" distR="0">
            <wp:extent cx="8892540" cy="3990798"/>
            <wp:effectExtent l="0" t="0" r="3810" b="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92540" cy="3990798"/>
                    </a:xfrm>
                    <a:prstGeom prst="rect">
                      <a:avLst/>
                    </a:prstGeom>
                    <a:noFill/>
                    <a:ln>
                      <a:noFill/>
                    </a:ln>
                  </pic:spPr>
                </pic:pic>
              </a:graphicData>
            </a:graphic>
          </wp:inline>
        </w:drawing>
      </w: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sectPr>
          <w:pgSz w:w="16838" w:h="11906" w:orient="landscape"/>
          <w:pgMar w:top="1417" w:right="1417" w:bottom="1417" w:left="1417" w:header="708" w:footer="708" w:gutter="0"/>
          <w:cols w:space="708"/>
          <w:docGrid w:linePitch="360"/>
        </w:sectPr>
      </w:pPr>
    </w:p>
    <w:p>
      <w:pPr>
        <w:pStyle w:val="Odlomakpopisa"/>
        <w:numPr>
          <w:ilvl w:val="0"/>
          <w:numId w:val="1"/>
        </w:numPr>
        <w:jc w:val="center"/>
        <w:rPr>
          <w:rFonts w:ascii="Times New Roman" w:hAnsi="Times New Roman" w:cs="Times New Roman"/>
          <w:b/>
          <w:sz w:val="24"/>
          <w:szCs w:val="24"/>
        </w:rPr>
      </w:pPr>
      <w:r>
        <w:rPr>
          <w:rFonts w:ascii="Times New Roman" w:hAnsi="Times New Roman" w:cs="Times New Roman"/>
          <w:b/>
          <w:sz w:val="24"/>
          <w:szCs w:val="24"/>
        </w:rPr>
        <w:lastRenderedPageBreak/>
        <w:t>ZAVRŠNA ODREDBA</w:t>
      </w:r>
    </w:p>
    <w:p>
      <w:pPr>
        <w:jc w:val="center"/>
        <w:rPr>
          <w:rFonts w:ascii="Times New Roman" w:hAnsi="Times New Roman" w:cs="Times New Roman"/>
          <w:b/>
          <w:sz w:val="24"/>
          <w:szCs w:val="24"/>
        </w:rPr>
      </w:pPr>
      <w:r>
        <w:rPr>
          <w:rFonts w:ascii="Times New Roman" w:hAnsi="Times New Roman" w:cs="Times New Roman"/>
          <w:b/>
          <w:sz w:val="24"/>
          <w:szCs w:val="24"/>
        </w:rPr>
        <w:t>Članak 4.</w:t>
      </w:r>
    </w:p>
    <w:p>
      <w:pPr>
        <w:jc w:val="both"/>
        <w:rPr>
          <w:rFonts w:ascii="Times New Roman" w:hAnsi="Times New Roman" w:cs="Times New Roman"/>
          <w:sz w:val="24"/>
          <w:szCs w:val="24"/>
        </w:rPr>
      </w:pPr>
      <w:r>
        <w:rPr>
          <w:rFonts w:ascii="Times New Roman" w:hAnsi="Times New Roman" w:cs="Times New Roman"/>
          <w:sz w:val="24"/>
          <w:szCs w:val="24"/>
        </w:rPr>
        <w:t>Izvještaj o korištenju proračunske zalihe, Izvještaj o zaduživanju na domaćem i stranom tržištu novca i kapitala, Izvještaj o danim jamstvima i plaćanjima po protestnim jamstvima te Obrazloženje ostvarenja prihoda i primitaka, rashoda i izdataka sastavni su dio Polugodišnjeg izvještaja o izvršenju Proračuna Općine Bilice za razdoblje od 01.01. do 30.06.2023. godine.</w:t>
      </w:r>
    </w:p>
    <w:p>
      <w:pPr>
        <w:jc w:val="center"/>
        <w:rPr>
          <w:rFonts w:ascii="Times New Roman" w:hAnsi="Times New Roman" w:cs="Times New Roman"/>
          <w:b/>
          <w:sz w:val="24"/>
          <w:szCs w:val="24"/>
        </w:rPr>
      </w:pPr>
      <w:r>
        <w:rPr>
          <w:rFonts w:ascii="Times New Roman" w:hAnsi="Times New Roman" w:cs="Times New Roman"/>
          <w:b/>
          <w:sz w:val="24"/>
          <w:szCs w:val="24"/>
        </w:rPr>
        <w:t>Članak 5.</w:t>
      </w:r>
    </w:p>
    <w:p>
      <w:pPr>
        <w:rPr>
          <w:rFonts w:ascii="Times New Roman" w:hAnsi="Times New Roman" w:cs="Times New Roman"/>
          <w:sz w:val="24"/>
          <w:szCs w:val="24"/>
        </w:rPr>
      </w:pPr>
      <w:r>
        <w:rPr>
          <w:rFonts w:ascii="Times New Roman" w:hAnsi="Times New Roman" w:cs="Times New Roman"/>
          <w:sz w:val="24"/>
          <w:szCs w:val="24"/>
        </w:rPr>
        <w:t>Polugodišnji izvještaj o izvršenju Proračuna Općine Bilice za 2023. godinu objavit će se u „Službenom glasniku Općine Bilice“.</w:t>
      </w:r>
    </w:p>
    <w:p>
      <w:pPr>
        <w:rPr>
          <w:rFonts w:ascii="Times New Roman" w:hAnsi="Times New Roman" w:cs="Times New Roman"/>
          <w:sz w:val="24"/>
          <w:szCs w:val="24"/>
        </w:rPr>
      </w:pPr>
    </w:p>
    <w:p>
      <w:pPr>
        <w:jc w:val="center"/>
        <w:rPr>
          <w:rFonts w:ascii="Times New Roman" w:hAnsi="Times New Roman" w:cs="Times New Roman"/>
          <w:sz w:val="24"/>
          <w:szCs w:val="24"/>
        </w:rPr>
      </w:pPr>
    </w:p>
    <w:p>
      <w:pP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PREDSJEDNIK</w:t>
      </w:r>
    </w:p>
    <w:p>
      <w:pP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Vatko Petrović</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24"/>
          <w:szCs w:val="24"/>
        </w:rPr>
      </w:pPr>
    </w:p>
    <w:p>
      <w:pPr>
        <w:jc w:val="center"/>
        <w:rPr>
          <w:rFonts w:ascii="Times New Roman" w:hAnsi="Times New Roman" w:cs="Times New Roman"/>
          <w:sz w:val="24"/>
          <w:szCs w:val="24"/>
        </w:rPr>
      </w:pPr>
    </w:p>
    <w:p>
      <w:pPr>
        <w:rPr>
          <w:rFonts w:ascii="Times New Roman" w:hAnsi="Times New Roman" w:cs="Times New Roman"/>
          <w:b/>
          <w:sz w:val="24"/>
          <w:szCs w:val="24"/>
        </w:rPr>
        <w:sectPr>
          <w:pgSz w:w="11906" w:h="16838"/>
          <w:pgMar w:top="1417" w:right="1417" w:bottom="1417" w:left="1417" w:header="708" w:footer="708" w:gutter="0"/>
          <w:cols w:space="708"/>
          <w:docGrid w:linePitch="360"/>
        </w:sectPr>
      </w:pPr>
    </w:p>
    <w:p>
      <w:pPr>
        <w:jc w:val="center"/>
        <w:rPr>
          <w:rFonts w:ascii="Times New Roman" w:hAnsi="Times New Roman" w:cs="Times New Roman"/>
          <w:b/>
          <w:sz w:val="24"/>
          <w:szCs w:val="24"/>
        </w:rPr>
      </w:pPr>
      <w:r>
        <w:rPr>
          <w:rFonts w:ascii="Times New Roman" w:hAnsi="Times New Roman" w:cs="Times New Roman"/>
          <w:b/>
          <w:sz w:val="24"/>
          <w:szCs w:val="24"/>
        </w:rPr>
        <w:lastRenderedPageBreak/>
        <w:t>IZVJEŠTAJ O IZVRŠENJU PRORAČUNSKE ZALIHE</w:t>
      </w:r>
    </w:p>
    <w:p>
      <w:pPr>
        <w:jc w:val="center"/>
        <w:rPr>
          <w:rFonts w:ascii="Times New Roman" w:hAnsi="Times New Roman" w:cs="Times New Roman"/>
          <w:b/>
          <w:sz w:val="24"/>
          <w:szCs w:val="24"/>
        </w:rPr>
      </w:pPr>
      <w:r>
        <w:rPr>
          <w:rFonts w:ascii="Times New Roman" w:hAnsi="Times New Roman" w:cs="Times New Roman"/>
          <w:b/>
          <w:sz w:val="24"/>
          <w:szCs w:val="24"/>
        </w:rPr>
        <w:t xml:space="preserve"> PRORAČUNA OPĆINE BILICE ZA RAZDOBLJE </w:t>
      </w:r>
    </w:p>
    <w:p>
      <w:pPr>
        <w:jc w:val="center"/>
        <w:rPr>
          <w:rFonts w:ascii="Times New Roman" w:hAnsi="Times New Roman" w:cs="Times New Roman"/>
          <w:b/>
        </w:rPr>
      </w:pPr>
      <w:r>
        <w:rPr>
          <w:rFonts w:ascii="Times New Roman" w:hAnsi="Times New Roman" w:cs="Times New Roman"/>
          <w:b/>
          <w:sz w:val="24"/>
          <w:szCs w:val="24"/>
        </w:rPr>
        <w:t>OD 01.01. – 30.06.2023. GODINE</w:t>
      </w:r>
    </w:p>
    <w:p>
      <w:pPr>
        <w:tabs>
          <w:tab w:val="left" w:pos="8361"/>
        </w:tabs>
        <w:spacing w:after="0"/>
        <w:ind w:left="8355"/>
      </w:pPr>
      <w:r>
        <w:t xml:space="preserve">          1                                2</w:t>
      </w:r>
    </w:p>
    <w:tbl>
      <w:tblPr>
        <w:tblStyle w:val="Reetkatablice"/>
        <w:tblW w:w="0" w:type="auto"/>
        <w:jc w:val="center"/>
        <w:tblLook w:val="04A0" w:firstRow="1" w:lastRow="0" w:firstColumn="1" w:lastColumn="0" w:noHBand="0" w:noVBand="1"/>
      </w:tblPr>
      <w:tblGrid>
        <w:gridCol w:w="846"/>
        <w:gridCol w:w="5670"/>
        <w:gridCol w:w="1842"/>
        <w:gridCol w:w="1843"/>
        <w:gridCol w:w="992"/>
      </w:tblGrid>
      <w:tr>
        <w:trPr>
          <w:jc w:val="center"/>
        </w:trPr>
        <w:tc>
          <w:tcPr>
            <w:tcW w:w="846" w:type="dxa"/>
            <w:shd w:val="clear" w:color="auto" w:fill="E7E6E6" w:themeFill="background2"/>
            <w:vAlign w:val="center"/>
          </w:tcPr>
          <w:p>
            <w:pPr>
              <w:jc w:val="center"/>
              <w:rPr>
                <w:b/>
              </w:rPr>
            </w:pPr>
            <w:r>
              <w:rPr>
                <w:b/>
              </w:rPr>
              <w:t>Račun</w:t>
            </w:r>
          </w:p>
        </w:tc>
        <w:tc>
          <w:tcPr>
            <w:tcW w:w="5670" w:type="dxa"/>
            <w:shd w:val="clear" w:color="auto" w:fill="E7E6E6" w:themeFill="background2"/>
            <w:vAlign w:val="center"/>
          </w:tcPr>
          <w:p>
            <w:pPr>
              <w:jc w:val="center"/>
              <w:rPr>
                <w:b/>
              </w:rPr>
            </w:pPr>
            <w:r>
              <w:rPr>
                <w:b/>
              </w:rPr>
              <w:t>Opis</w:t>
            </w:r>
          </w:p>
        </w:tc>
        <w:tc>
          <w:tcPr>
            <w:tcW w:w="1842" w:type="dxa"/>
            <w:shd w:val="clear" w:color="auto" w:fill="E7E6E6" w:themeFill="background2"/>
            <w:vAlign w:val="center"/>
          </w:tcPr>
          <w:p>
            <w:pPr>
              <w:jc w:val="center"/>
              <w:rPr>
                <w:b/>
              </w:rPr>
            </w:pPr>
            <w:r>
              <w:rPr>
                <w:b/>
              </w:rPr>
              <w:t>Izvorni plan</w:t>
            </w:r>
          </w:p>
          <w:p>
            <w:pPr>
              <w:jc w:val="center"/>
              <w:rPr>
                <w:b/>
              </w:rPr>
            </w:pPr>
            <w:r>
              <w:rPr>
                <w:b/>
              </w:rPr>
              <w:t>2023.</w:t>
            </w:r>
          </w:p>
        </w:tc>
        <w:tc>
          <w:tcPr>
            <w:tcW w:w="1843" w:type="dxa"/>
            <w:shd w:val="clear" w:color="auto" w:fill="E7E6E6" w:themeFill="background2"/>
            <w:vAlign w:val="center"/>
          </w:tcPr>
          <w:p>
            <w:pPr>
              <w:jc w:val="center"/>
              <w:rPr>
                <w:b/>
              </w:rPr>
            </w:pPr>
            <w:r>
              <w:rPr>
                <w:b/>
              </w:rPr>
              <w:t>Izvršenje</w:t>
            </w:r>
          </w:p>
          <w:p>
            <w:pPr>
              <w:jc w:val="center"/>
              <w:rPr>
                <w:b/>
              </w:rPr>
            </w:pPr>
            <w:r>
              <w:rPr>
                <w:b/>
              </w:rPr>
              <w:t>2023.</w:t>
            </w:r>
          </w:p>
        </w:tc>
        <w:tc>
          <w:tcPr>
            <w:tcW w:w="992" w:type="dxa"/>
            <w:shd w:val="clear" w:color="auto" w:fill="E7E6E6" w:themeFill="background2"/>
            <w:vAlign w:val="center"/>
          </w:tcPr>
          <w:p>
            <w:pPr>
              <w:jc w:val="center"/>
              <w:rPr>
                <w:b/>
              </w:rPr>
            </w:pPr>
            <w:r>
              <w:rPr>
                <w:b/>
              </w:rPr>
              <w:t>Indeks</w:t>
            </w:r>
          </w:p>
          <w:p>
            <w:pPr>
              <w:jc w:val="center"/>
              <w:rPr>
                <w:b/>
              </w:rPr>
            </w:pPr>
            <w:r>
              <w:rPr>
                <w:b/>
              </w:rPr>
              <w:t>(2/1)</w:t>
            </w:r>
          </w:p>
        </w:tc>
      </w:tr>
      <w:tr>
        <w:trPr>
          <w:jc w:val="center"/>
        </w:trPr>
        <w:tc>
          <w:tcPr>
            <w:tcW w:w="846" w:type="dxa"/>
          </w:tcPr>
          <w:p>
            <w:r>
              <w:t>32</w:t>
            </w:r>
          </w:p>
        </w:tc>
        <w:tc>
          <w:tcPr>
            <w:tcW w:w="5670" w:type="dxa"/>
          </w:tcPr>
          <w:p>
            <w:r>
              <w:t>Materijalni rashodi</w:t>
            </w:r>
          </w:p>
        </w:tc>
        <w:tc>
          <w:tcPr>
            <w:tcW w:w="1842" w:type="dxa"/>
          </w:tcPr>
          <w:p>
            <w:pPr>
              <w:jc w:val="right"/>
            </w:pPr>
            <w:r>
              <w:t>2.700,00</w:t>
            </w:r>
          </w:p>
        </w:tc>
        <w:tc>
          <w:tcPr>
            <w:tcW w:w="1843" w:type="dxa"/>
          </w:tcPr>
          <w:p>
            <w:pPr>
              <w:jc w:val="right"/>
            </w:pPr>
            <w:r>
              <w:t>577,14</w:t>
            </w:r>
          </w:p>
        </w:tc>
        <w:tc>
          <w:tcPr>
            <w:tcW w:w="992" w:type="dxa"/>
          </w:tcPr>
          <w:p>
            <w:pPr>
              <w:jc w:val="right"/>
            </w:pPr>
            <w:r>
              <w:t>21,38%</w:t>
            </w:r>
          </w:p>
        </w:tc>
      </w:tr>
      <w:tr>
        <w:trPr>
          <w:jc w:val="center"/>
        </w:trPr>
        <w:tc>
          <w:tcPr>
            <w:tcW w:w="846" w:type="dxa"/>
          </w:tcPr>
          <w:p>
            <w:r>
              <w:t>3299</w:t>
            </w:r>
          </w:p>
        </w:tc>
        <w:tc>
          <w:tcPr>
            <w:tcW w:w="5670" w:type="dxa"/>
          </w:tcPr>
          <w:p>
            <w:r>
              <w:t>Proračunska zaliha</w:t>
            </w:r>
          </w:p>
        </w:tc>
        <w:tc>
          <w:tcPr>
            <w:tcW w:w="1842" w:type="dxa"/>
          </w:tcPr>
          <w:p>
            <w:pPr>
              <w:jc w:val="right"/>
            </w:pPr>
            <w:r>
              <w:t>2.700,00</w:t>
            </w:r>
          </w:p>
        </w:tc>
        <w:tc>
          <w:tcPr>
            <w:tcW w:w="1843" w:type="dxa"/>
          </w:tcPr>
          <w:p>
            <w:pPr>
              <w:jc w:val="right"/>
            </w:pPr>
            <w:r>
              <w:t>577,14</w:t>
            </w:r>
          </w:p>
        </w:tc>
        <w:tc>
          <w:tcPr>
            <w:tcW w:w="992" w:type="dxa"/>
          </w:tcPr>
          <w:p>
            <w:pPr>
              <w:jc w:val="right"/>
            </w:pPr>
            <w:r>
              <w:t>21,38%</w:t>
            </w:r>
          </w:p>
        </w:tc>
      </w:tr>
    </w:tbl>
    <w:p/>
    <w:p/>
    <w:p>
      <w:pPr>
        <w:pStyle w:val="Odlomakpopisa"/>
        <w:numPr>
          <w:ilvl w:val="0"/>
          <w:numId w:val="7"/>
        </w:numPr>
        <w:rPr>
          <w:rFonts w:ascii="Times New Roman" w:hAnsi="Times New Roman" w:cs="Times New Roman"/>
          <w:sz w:val="24"/>
          <w:szCs w:val="24"/>
        </w:rPr>
      </w:pPr>
      <w:r>
        <w:rPr>
          <w:rFonts w:ascii="Times New Roman" w:hAnsi="Times New Roman" w:cs="Times New Roman"/>
          <w:sz w:val="24"/>
          <w:szCs w:val="24"/>
        </w:rPr>
        <w:t>Odluka općinskog načelnika Općine Bilice (KLASA: 402-08/23-01/5, URBROJ: 2182-19-23-2, od 10.02.2023. godine)</w:t>
      </w:r>
    </w:p>
    <w:p>
      <w:pPr>
        <w:pStyle w:val="Odlomakpopisa"/>
        <w:rPr>
          <w:rFonts w:ascii="Times New Roman" w:hAnsi="Times New Roman" w:cs="Times New Roman"/>
          <w:sz w:val="24"/>
          <w:szCs w:val="24"/>
        </w:rPr>
      </w:pPr>
      <w:r>
        <w:rPr>
          <w:rFonts w:ascii="Times New Roman" w:hAnsi="Times New Roman" w:cs="Times New Roman"/>
          <w:sz w:val="24"/>
          <w:szCs w:val="24"/>
        </w:rPr>
        <w:t>namjena: novčana pomoć za organizaciju 13. otvorenog prvenstva Šibensko-kninske županije u alpskom skijanju na Blidunju</w:t>
      </w:r>
    </w:p>
    <w:p>
      <w:pPr>
        <w:pStyle w:val="Odlomakpopisa"/>
        <w:rPr>
          <w:rFonts w:ascii="Times New Roman" w:hAnsi="Times New Roman" w:cs="Times New Roman"/>
          <w:sz w:val="24"/>
          <w:szCs w:val="24"/>
        </w:rPr>
      </w:pPr>
      <w:r>
        <w:rPr>
          <w:rFonts w:ascii="Times New Roman" w:hAnsi="Times New Roman" w:cs="Times New Roman"/>
          <w:sz w:val="24"/>
          <w:szCs w:val="24"/>
        </w:rPr>
        <w:t>Iznos: 250,00 eura/1.883,63 kn</w:t>
      </w:r>
    </w:p>
    <w:p>
      <w:pPr>
        <w:pStyle w:val="Odlomakpopisa"/>
        <w:rPr>
          <w:rFonts w:ascii="Times New Roman" w:hAnsi="Times New Roman" w:cs="Times New Roman"/>
          <w:sz w:val="24"/>
          <w:szCs w:val="24"/>
        </w:rPr>
      </w:pPr>
      <w:r>
        <w:rPr>
          <w:rFonts w:ascii="Times New Roman" w:hAnsi="Times New Roman" w:cs="Times New Roman"/>
          <w:sz w:val="24"/>
          <w:szCs w:val="24"/>
        </w:rPr>
        <w:t xml:space="preserve">Datum plaćanja: 10. veljače 2023. </w:t>
      </w:r>
    </w:p>
    <w:p>
      <w:pPr>
        <w:pStyle w:val="Odlomakpopisa"/>
        <w:rPr>
          <w:rFonts w:ascii="Times New Roman" w:hAnsi="Times New Roman" w:cs="Times New Roman"/>
          <w:sz w:val="24"/>
          <w:szCs w:val="24"/>
        </w:rPr>
      </w:pPr>
    </w:p>
    <w:p>
      <w:pPr>
        <w:pStyle w:val="Odlomakpopisa"/>
        <w:numPr>
          <w:ilvl w:val="0"/>
          <w:numId w:val="7"/>
        </w:numPr>
        <w:rPr>
          <w:rFonts w:ascii="Times New Roman" w:hAnsi="Times New Roman" w:cs="Times New Roman"/>
          <w:sz w:val="24"/>
          <w:szCs w:val="24"/>
        </w:rPr>
      </w:pPr>
      <w:r>
        <w:rPr>
          <w:rFonts w:ascii="Times New Roman" w:hAnsi="Times New Roman" w:cs="Times New Roman"/>
          <w:sz w:val="24"/>
          <w:szCs w:val="24"/>
        </w:rPr>
        <w:t>Odluka općinskog načelnika Općine Bilice (KLASA: 402-08/23-01/6, URBROJ: 2182-19-23-2, od 27.02.2023. godine)</w:t>
      </w:r>
    </w:p>
    <w:p>
      <w:pPr>
        <w:pStyle w:val="Odlomakpopisa"/>
        <w:rPr>
          <w:rFonts w:ascii="Times New Roman" w:hAnsi="Times New Roman" w:cs="Times New Roman"/>
          <w:sz w:val="24"/>
          <w:szCs w:val="24"/>
        </w:rPr>
      </w:pPr>
      <w:r>
        <w:rPr>
          <w:rFonts w:ascii="Times New Roman" w:hAnsi="Times New Roman" w:cs="Times New Roman"/>
          <w:sz w:val="24"/>
          <w:szCs w:val="24"/>
        </w:rPr>
        <w:t>namjena: novčana pomoć u svrhu organiziranja izložbe lovačkih trofeja i lovačkog bala.</w:t>
      </w:r>
    </w:p>
    <w:p>
      <w:pPr>
        <w:pStyle w:val="Odlomakpopisa"/>
        <w:rPr>
          <w:rFonts w:ascii="Times New Roman" w:hAnsi="Times New Roman" w:cs="Times New Roman"/>
          <w:sz w:val="24"/>
          <w:szCs w:val="24"/>
        </w:rPr>
      </w:pPr>
      <w:r>
        <w:rPr>
          <w:rFonts w:ascii="Times New Roman" w:hAnsi="Times New Roman" w:cs="Times New Roman"/>
          <w:sz w:val="24"/>
          <w:szCs w:val="24"/>
        </w:rPr>
        <w:t>iznos: 250,00 eura/1.883,63 kn</w:t>
      </w:r>
    </w:p>
    <w:p>
      <w:pPr>
        <w:pStyle w:val="Odlomakpopisa"/>
        <w:rPr>
          <w:rFonts w:ascii="Times New Roman" w:hAnsi="Times New Roman" w:cs="Times New Roman"/>
          <w:sz w:val="24"/>
          <w:szCs w:val="24"/>
        </w:rPr>
      </w:pPr>
      <w:r>
        <w:rPr>
          <w:rFonts w:ascii="Times New Roman" w:hAnsi="Times New Roman" w:cs="Times New Roman"/>
          <w:sz w:val="24"/>
          <w:szCs w:val="24"/>
        </w:rPr>
        <w:t>datum plaćanja: 16. ožujka 2023.</w:t>
      </w:r>
    </w:p>
    <w:p>
      <w:pPr>
        <w:pStyle w:val="Odlomakpopisa"/>
        <w:rPr>
          <w:rFonts w:ascii="Times New Roman" w:hAnsi="Times New Roman" w:cs="Times New Roman"/>
          <w:sz w:val="24"/>
          <w:szCs w:val="24"/>
        </w:rPr>
      </w:pPr>
    </w:p>
    <w:p>
      <w:pPr>
        <w:pStyle w:val="Odlomakpopisa"/>
        <w:numPr>
          <w:ilvl w:val="0"/>
          <w:numId w:val="7"/>
        </w:numPr>
        <w:rPr>
          <w:rFonts w:ascii="Times New Roman" w:hAnsi="Times New Roman" w:cs="Times New Roman"/>
          <w:sz w:val="24"/>
          <w:szCs w:val="24"/>
        </w:rPr>
      </w:pPr>
      <w:r>
        <w:rPr>
          <w:rFonts w:ascii="Times New Roman" w:hAnsi="Times New Roman" w:cs="Times New Roman"/>
          <w:sz w:val="24"/>
          <w:szCs w:val="24"/>
        </w:rPr>
        <w:t>Odluka općinskog načelnika Općine Bilice (KLASA: 402-08/23-01/25, URBROJ: 2182-19-23-2, od 29.06.2023. godine)</w:t>
      </w:r>
    </w:p>
    <w:p>
      <w:pPr>
        <w:pStyle w:val="Odlomakpopisa"/>
        <w:rPr>
          <w:rFonts w:ascii="Times New Roman" w:hAnsi="Times New Roman" w:cs="Times New Roman"/>
          <w:sz w:val="24"/>
          <w:szCs w:val="24"/>
        </w:rPr>
      </w:pPr>
      <w:r>
        <w:rPr>
          <w:rFonts w:ascii="Times New Roman" w:hAnsi="Times New Roman" w:cs="Times New Roman"/>
          <w:sz w:val="24"/>
          <w:szCs w:val="24"/>
        </w:rPr>
        <w:t>namjena: novčana pomoć za kupnju zvučnika i mikrofona Župi Uznesenja Marijina Bilice</w:t>
      </w:r>
    </w:p>
    <w:p>
      <w:pPr>
        <w:pStyle w:val="Odlomakpopisa"/>
        <w:rPr>
          <w:rFonts w:ascii="Times New Roman" w:hAnsi="Times New Roman" w:cs="Times New Roman"/>
          <w:sz w:val="24"/>
          <w:szCs w:val="24"/>
        </w:rPr>
      </w:pPr>
      <w:r>
        <w:rPr>
          <w:rFonts w:ascii="Times New Roman" w:hAnsi="Times New Roman" w:cs="Times New Roman"/>
          <w:sz w:val="24"/>
          <w:szCs w:val="24"/>
        </w:rPr>
        <w:t>iznos: 77,14 eura/581,21 kn</w:t>
      </w:r>
    </w:p>
    <w:p>
      <w:pPr>
        <w:pStyle w:val="Odlomakpopisa"/>
        <w:rPr>
          <w:rFonts w:ascii="Times New Roman" w:hAnsi="Times New Roman" w:cs="Times New Roman"/>
          <w:sz w:val="24"/>
          <w:szCs w:val="24"/>
        </w:rPr>
      </w:pPr>
      <w:r>
        <w:rPr>
          <w:rFonts w:ascii="Times New Roman" w:hAnsi="Times New Roman" w:cs="Times New Roman"/>
          <w:sz w:val="24"/>
          <w:szCs w:val="24"/>
        </w:rPr>
        <w:t>datum plaćanja: 29. svibnja 2023.</w:t>
      </w:r>
    </w:p>
    <w:p>
      <w:pPr>
        <w:pStyle w:val="Odlomakpopisa"/>
      </w:pPr>
    </w:p>
    <w:p>
      <w:pPr>
        <w:pStyle w:val="Odlomakpopisa"/>
      </w:pPr>
      <w:r>
        <w:t xml:space="preserve"> </w:t>
      </w:r>
    </w:p>
    <w:p>
      <w:pPr>
        <w:rPr>
          <w:rFonts w:ascii="Times New Roman" w:hAnsi="Times New Roman" w:cs="Times New Roman"/>
          <w:b/>
          <w:sz w:val="24"/>
          <w:szCs w:val="24"/>
        </w:rPr>
        <w:sectPr>
          <w:pgSz w:w="16838" w:h="11906" w:orient="landscape"/>
          <w:pgMar w:top="1417" w:right="1417" w:bottom="1417" w:left="1417" w:header="708" w:footer="708" w:gutter="0"/>
          <w:cols w:space="708"/>
          <w:docGrid w:linePitch="360"/>
        </w:sectPr>
      </w:pPr>
    </w:p>
    <w:p>
      <w:pPr>
        <w:jc w:val="center"/>
        <w:rPr>
          <w:rFonts w:ascii="Times New Roman" w:hAnsi="Times New Roman" w:cs="Times New Roman"/>
          <w:b/>
          <w:sz w:val="24"/>
          <w:szCs w:val="24"/>
        </w:rPr>
      </w:pPr>
      <w:r>
        <w:rPr>
          <w:rFonts w:ascii="Times New Roman" w:hAnsi="Times New Roman" w:cs="Times New Roman"/>
          <w:b/>
          <w:sz w:val="24"/>
          <w:szCs w:val="24"/>
        </w:rPr>
        <w:lastRenderedPageBreak/>
        <w:t>IZVJEŠTAJO ZADUŽIVANJU</w:t>
      </w:r>
    </w:p>
    <w:p>
      <w:pPr>
        <w:jc w:val="center"/>
        <w:rPr>
          <w:rFonts w:ascii="Times New Roman" w:hAnsi="Times New Roman" w:cs="Times New Roman"/>
          <w:b/>
          <w:sz w:val="24"/>
          <w:szCs w:val="24"/>
        </w:rPr>
      </w:pPr>
      <w:r>
        <w:rPr>
          <w:rFonts w:ascii="Times New Roman" w:hAnsi="Times New Roman" w:cs="Times New Roman"/>
          <w:b/>
          <w:sz w:val="24"/>
          <w:szCs w:val="24"/>
        </w:rPr>
        <w:t xml:space="preserve"> NA DOMAĆEM I STRANOM TRŽIŠTU NOVCA I KAPITALA</w:t>
      </w:r>
    </w:p>
    <w:p>
      <w:pPr>
        <w:shd w:val="clear" w:color="auto" w:fill="FFFFFF"/>
        <w:ind w:right="-284" w:firstLine="708"/>
        <w:jc w:val="both"/>
        <w:rPr>
          <w:rFonts w:ascii="Times New Roman" w:hAnsi="Times New Roman" w:cs="Times New Roman"/>
          <w:sz w:val="24"/>
          <w:szCs w:val="24"/>
        </w:rPr>
      </w:pPr>
      <w:r>
        <w:rPr>
          <w:rFonts w:ascii="Times New Roman" w:hAnsi="Times New Roman" w:cs="Times New Roman"/>
          <w:sz w:val="24"/>
          <w:szCs w:val="24"/>
        </w:rPr>
        <w:t xml:space="preserve">U razdoblju od 01. siječnja do 30. lipnja 2023. Općina Bilice nema novih zaduženja na domaćem, kao ni na stranom tržištu novca. </w:t>
      </w:r>
    </w:p>
    <w:p>
      <w:pPr>
        <w:shd w:val="clear" w:color="auto" w:fill="FFFFFF"/>
        <w:ind w:right="-284"/>
        <w:jc w:val="both"/>
        <w:rPr>
          <w:rFonts w:ascii="Times New Roman" w:hAnsi="Times New Roman" w:cs="Times New Roman"/>
          <w:sz w:val="24"/>
          <w:szCs w:val="24"/>
        </w:rPr>
      </w:pPr>
      <w:r>
        <w:rPr>
          <w:rFonts w:ascii="Times New Roman" w:hAnsi="Times New Roman" w:cs="Times New Roman"/>
          <w:sz w:val="24"/>
          <w:szCs w:val="24"/>
        </w:rPr>
        <w:t>U razdoblju od 01. siječnja 2022. Općina Bilice se zadužila dugoročno u iznosu 530.891,23 €/4.000.000,00 kn na temelju  Odluke o zaduživanju Općine Bilice od 03. ožujka 2021. godine,  Odlukom o izmjeni Odluke o zaduživanju Općine Bilice od 30. ožujka 2021. godine i Odluke o davanju suglasnosti Općini Bilice za zaduženje kod Erste&amp;Steiermärkische Bank d.d., Rijeka od 28. svibnja 2021. godine koju je odobrila Vlada Republike Hrvatske. Sredstva dugoročnog zajma dodijeljena na temelju gore navedene Odluke Općina je dužna vraćati na rok od sedam godina, bez počeka, počevši od 01.02. 2023., u mjesečnim obrocima.</w:t>
      </w:r>
    </w:p>
    <w:p>
      <w:pPr>
        <w:rPr>
          <w:rFonts w:ascii="Times New Roman" w:hAnsi="Times New Roman" w:cs="Times New Roman"/>
          <w:b/>
          <w:sz w:val="24"/>
          <w:szCs w:val="24"/>
        </w:rPr>
      </w:pPr>
    </w:p>
    <w:p>
      <w:pPr>
        <w:jc w:val="center"/>
        <w:rPr>
          <w:rFonts w:ascii="Times New Roman" w:hAnsi="Times New Roman" w:cs="Times New Roman"/>
          <w:b/>
          <w:sz w:val="24"/>
          <w:szCs w:val="24"/>
        </w:rPr>
      </w:pPr>
      <w:r>
        <w:rPr>
          <w:rFonts w:ascii="Times New Roman" w:hAnsi="Times New Roman" w:cs="Times New Roman"/>
          <w:b/>
          <w:sz w:val="24"/>
          <w:szCs w:val="24"/>
        </w:rPr>
        <w:t xml:space="preserve">IZVJEŠTAJ O DANIM JAMSTVIMA I PLAĆANJIMA </w:t>
      </w:r>
    </w:p>
    <w:p>
      <w:pPr>
        <w:jc w:val="center"/>
        <w:rPr>
          <w:rFonts w:ascii="Times New Roman" w:hAnsi="Times New Roman" w:cs="Times New Roman"/>
          <w:b/>
          <w:sz w:val="24"/>
          <w:szCs w:val="24"/>
        </w:rPr>
      </w:pPr>
      <w:r>
        <w:rPr>
          <w:rFonts w:ascii="Times New Roman" w:hAnsi="Times New Roman" w:cs="Times New Roman"/>
          <w:b/>
          <w:sz w:val="24"/>
          <w:szCs w:val="24"/>
        </w:rPr>
        <w:t>PO PROTESTNIM JAMSTVIMA</w:t>
      </w:r>
    </w:p>
    <w:p>
      <w:pPr>
        <w:ind w:firstLine="708"/>
        <w:jc w:val="both"/>
        <w:rPr>
          <w:rFonts w:ascii="Times New Roman" w:hAnsi="Times New Roman" w:cs="Times New Roman"/>
          <w:sz w:val="24"/>
          <w:szCs w:val="24"/>
        </w:rPr>
      </w:pPr>
      <w:r>
        <w:rPr>
          <w:rFonts w:ascii="Times New Roman" w:hAnsi="Times New Roman" w:cs="Times New Roman"/>
          <w:sz w:val="24"/>
          <w:szCs w:val="24"/>
        </w:rPr>
        <w:t>Odlukom o izvršenju Proračuna Općine Bilice za 2023. godinu nije predviđeno davanje jamstva, te se ista nisu davala.</w:t>
      </w:r>
    </w:p>
    <w:p>
      <w:pPr>
        <w:rPr>
          <w:rFonts w:ascii="Times New Roman" w:hAnsi="Times New Roman" w:cs="Times New Roman"/>
          <w:b/>
          <w:sz w:val="24"/>
          <w:szCs w:val="24"/>
        </w:rPr>
      </w:pPr>
    </w:p>
    <w:p>
      <w:pPr>
        <w:rPr>
          <w:rFonts w:ascii="Times New Roman" w:hAnsi="Times New Roman" w:cs="Times New Roman"/>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rPr>
          <w:rFonts w:ascii="Times New Roman" w:hAnsi="Times New Roman" w:cs="Times New Roman"/>
          <w:b/>
          <w:sz w:val="24"/>
          <w:szCs w:val="24"/>
        </w:rPr>
      </w:pPr>
    </w:p>
    <w:p>
      <w:pPr>
        <w:jc w:val="center"/>
        <w:rPr>
          <w:rFonts w:ascii="Times New Roman" w:hAnsi="Times New Roman" w:cs="Times New Roman"/>
          <w:b/>
          <w:sz w:val="24"/>
          <w:szCs w:val="24"/>
        </w:rPr>
      </w:pPr>
      <w:r>
        <w:rPr>
          <w:rFonts w:ascii="Times New Roman" w:hAnsi="Times New Roman" w:cs="Times New Roman"/>
          <w:b/>
          <w:sz w:val="24"/>
          <w:szCs w:val="24"/>
        </w:rPr>
        <w:lastRenderedPageBreak/>
        <w:t>OBRAZLOŽENJE</w:t>
      </w:r>
    </w:p>
    <w:p>
      <w:pPr>
        <w:jc w:val="center"/>
        <w:rPr>
          <w:rFonts w:ascii="Times New Roman" w:hAnsi="Times New Roman" w:cs="Times New Roman"/>
          <w:b/>
          <w:sz w:val="24"/>
          <w:szCs w:val="24"/>
        </w:rPr>
      </w:pPr>
      <w:r>
        <w:rPr>
          <w:rFonts w:ascii="Times New Roman" w:hAnsi="Times New Roman" w:cs="Times New Roman"/>
          <w:b/>
          <w:sz w:val="24"/>
          <w:szCs w:val="24"/>
        </w:rPr>
        <w:t>UZ POLUGODIŠNJI IZJEŠTAJ</w:t>
      </w:r>
    </w:p>
    <w:p>
      <w:pPr>
        <w:jc w:val="center"/>
        <w:rPr>
          <w:rFonts w:ascii="Times New Roman" w:hAnsi="Times New Roman" w:cs="Times New Roman"/>
          <w:b/>
          <w:sz w:val="24"/>
          <w:szCs w:val="24"/>
        </w:rPr>
      </w:pPr>
      <w:r>
        <w:rPr>
          <w:rFonts w:ascii="Times New Roman" w:hAnsi="Times New Roman" w:cs="Times New Roman"/>
          <w:b/>
          <w:sz w:val="24"/>
          <w:szCs w:val="24"/>
        </w:rPr>
        <w:t xml:space="preserve">O IZVRŠENJU PRORAČUNA OPĆINE BILICE </w:t>
      </w:r>
    </w:p>
    <w:p>
      <w:pPr>
        <w:jc w:val="center"/>
        <w:rPr>
          <w:rFonts w:ascii="Times New Roman" w:hAnsi="Times New Roman" w:cs="Times New Roman"/>
          <w:b/>
          <w:sz w:val="24"/>
          <w:szCs w:val="24"/>
        </w:rPr>
      </w:pPr>
      <w:r>
        <w:rPr>
          <w:rFonts w:ascii="Times New Roman" w:hAnsi="Times New Roman" w:cs="Times New Roman"/>
          <w:b/>
          <w:sz w:val="24"/>
          <w:szCs w:val="24"/>
        </w:rPr>
        <w:t>ZA 2023.</w:t>
      </w:r>
    </w:p>
    <w:p>
      <w:pPr>
        <w:rPr>
          <w:rFonts w:ascii="Times New Roman" w:hAnsi="Times New Roman" w:cs="Times New Roman"/>
          <w:b/>
          <w:sz w:val="24"/>
          <w:szCs w:val="24"/>
        </w:rPr>
      </w:pPr>
    </w:p>
    <w:p>
      <w:pPr>
        <w:jc w:val="both"/>
        <w:rPr>
          <w:rFonts w:ascii="Times New Roman" w:hAnsi="Times New Roman" w:cs="Times New Roman"/>
          <w:sz w:val="24"/>
          <w:szCs w:val="24"/>
        </w:rPr>
      </w:pPr>
      <w:r>
        <w:rPr>
          <w:rFonts w:ascii="Times New Roman" w:hAnsi="Times New Roman" w:cs="Times New Roman"/>
          <w:sz w:val="24"/>
          <w:szCs w:val="24"/>
        </w:rPr>
        <w:tab/>
        <w:t>Pravilnikom o polugodišnjem i godišnjem izvještaju o izvršenju proračuna („Narodne novine“, broj 85/23) utvrđeno je da polugodišnji izvještaj o izvršenju proračuna jedinice lokalne samouprave sadrži:</w:t>
      </w:r>
    </w:p>
    <w:p>
      <w:pPr>
        <w:numPr>
          <w:ilvl w:val="0"/>
          <w:numId w:val="4"/>
        </w:numPr>
        <w:contextualSpacing/>
        <w:jc w:val="both"/>
        <w:rPr>
          <w:rFonts w:ascii="Times New Roman" w:hAnsi="Times New Roman" w:cs="Times New Roman"/>
          <w:sz w:val="24"/>
          <w:szCs w:val="24"/>
        </w:rPr>
      </w:pPr>
      <w:r>
        <w:rPr>
          <w:rFonts w:ascii="Times New Roman" w:hAnsi="Times New Roman" w:cs="Times New Roman"/>
          <w:sz w:val="24"/>
          <w:szCs w:val="24"/>
        </w:rPr>
        <w:t>OPĆI DIO</w:t>
      </w:r>
    </w:p>
    <w:p>
      <w:pPr>
        <w:numPr>
          <w:ilvl w:val="0"/>
          <w:numId w:val="4"/>
        </w:numPr>
        <w:contextualSpacing/>
        <w:jc w:val="both"/>
        <w:rPr>
          <w:rFonts w:ascii="Times New Roman" w:hAnsi="Times New Roman" w:cs="Times New Roman"/>
          <w:sz w:val="24"/>
          <w:szCs w:val="24"/>
        </w:rPr>
      </w:pPr>
      <w:r>
        <w:rPr>
          <w:rFonts w:ascii="Times New Roman" w:hAnsi="Times New Roman" w:cs="Times New Roman"/>
          <w:sz w:val="24"/>
          <w:szCs w:val="24"/>
        </w:rPr>
        <w:t>POSEBAN DIO</w:t>
      </w:r>
    </w:p>
    <w:p>
      <w:pPr>
        <w:numPr>
          <w:ilvl w:val="0"/>
          <w:numId w:val="4"/>
        </w:numPr>
        <w:contextualSpacing/>
        <w:jc w:val="both"/>
        <w:rPr>
          <w:rFonts w:ascii="Times New Roman" w:hAnsi="Times New Roman" w:cs="Times New Roman"/>
          <w:sz w:val="24"/>
          <w:szCs w:val="24"/>
        </w:rPr>
      </w:pPr>
      <w:r>
        <w:rPr>
          <w:rFonts w:ascii="Times New Roman" w:hAnsi="Times New Roman" w:cs="Times New Roman"/>
          <w:sz w:val="24"/>
          <w:szCs w:val="24"/>
        </w:rPr>
        <w:t>IZVJEŠTAJ O KORIŠTENJU PRORAČUNSKE ZALIHE,</w:t>
      </w:r>
    </w:p>
    <w:p>
      <w:pPr>
        <w:numPr>
          <w:ilvl w:val="0"/>
          <w:numId w:val="4"/>
        </w:numPr>
        <w:contextualSpacing/>
        <w:jc w:val="both"/>
        <w:rPr>
          <w:rFonts w:ascii="Times New Roman" w:hAnsi="Times New Roman" w:cs="Times New Roman"/>
          <w:sz w:val="24"/>
          <w:szCs w:val="24"/>
        </w:rPr>
      </w:pPr>
      <w:r>
        <w:rPr>
          <w:rFonts w:ascii="Times New Roman" w:hAnsi="Times New Roman" w:cs="Times New Roman"/>
          <w:sz w:val="24"/>
          <w:szCs w:val="24"/>
        </w:rPr>
        <w:t>IZVJEŠTAJ O ZADUŽIVANJU NA DOMAĆEM I STRANOM TRŽIŠTU NOVCA I KAPITALA,</w:t>
      </w:r>
    </w:p>
    <w:p>
      <w:pPr>
        <w:numPr>
          <w:ilvl w:val="0"/>
          <w:numId w:val="4"/>
        </w:numPr>
        <w:contextualSpacing/>
        <w:jc w:val="both"/>
        <w:rPr>
          <w:rFonts w:ascii="Times New Roman" w:hAnsi="Times New Roman" w:cs="Times New Roman"/>
          <w:sz w:val="24"/>
          <w:szCs w:val="24"/>
        </w:rPr>
      </w:pPr>
      <w:r>
        <w:rPr>
          <w:rFonts w:ascii="Times New Roman" w:hAnsi="Times New Roman" w:cs="Times New Roman"/>
          <w:sz w:val="24"/>
          <w:szCs w:val="24"/>
        </w:rPr>
        <w:t>IZVJEŠTAJ O DANIM DRŽAVNIM JAMSTVIMA I IZDACIMA PO DRŽAVNIM JAMSTVIMA,</w:t>
      </w:r>
    </w:p>
    <w:p>
      <w:pPr>
        <w:numPr>
          <w:ilvl w:val="0"/>
          <w:numId w:val="4"/>
        </w:numPr>
        <w:contextualSpacing/>
        <w:jc w:val="both"/>
        <w:rPr>
          <w:rFonts w:ascii="Times New Roman" w:hAnsi="Times New Roman" w:cs="Times New Roman"/>
          <w:sz w:val="24"/>
          <w:szCs w:val="24"/>
        </w:rPr>
      </w:pPr>
      <w:r>
        <w:rPr>
          <w:rFonts w:ascii="Times New Roman" w:hAnsi="Times New Roman" w:cs="Times New Roman"/>
          <w:sz w:val="24"/>
          <w:szCs w:val="24"/>
        </w:rPr>
        <w:t>OBRAZLOŽENJE UZ POLUGODIŠNJI IZVJEŠTAJ O IZVRŠENJU PRORAČUNA OPĆINE BILICE ZA 2023.</w:t>
      </w:r>
    </w:p>
    <w:p>
      <w:pPr>
        <w:contextualSpacing/>
        <w:jc w:val="both"/>
        <w:rPr>
          <w:rFonts w:ascii="Times New Roman" w:hAnsi="Times New Roman" w:cs="Times New Roman"/>
          <w:sz w:val="24"/>
          <w:szCs w:val="24"/>
        </w:rPr>
      </w:pPr>
    </w:p>
    <w:p>
      <w:pPr>
        <w:pStyle w:val="Odlomakpopisa"/>
        <w:numPr>
          <w:ilvl w:val="0"/>
          <w:numId w:val="6"/>
        </w:numPr>
        <w:rPr>
          <w:rFonts w:ascii="Times New Roman" w:hAnsi="Times New Roman" w:cs="Times New Roman"/>
          <w:b/>
          <w:sz w:val="24"/>
          <w:szCs w:val="24"/>
        </w:rPr>
      </w:pPr>
      <w:r>
        <w:rPr>
          <w:rFonts w:ascii="Times New Roman" w:hAnsi="Times New Roman" w:cs="Times New Roman"/>
          <w:b/>
          <w:sz w:val="24"/>
          <w:szCs w:val="24"/>
        </w:rPr>
        <w:t>OPĆI DIO</w:t>
      </w:r>
    </w:p>
    <w:p>
      <w:pPr>
        <w:rPr>
          <w:rFonts w:ascii="Times New Roman" w:hAnsi="Times New Roman" w:cs="Times New Roman"/>
          <w:sz w:val="24"/>
          <w:szCs w:val="24"/>
        </w:rPr>
      </w:pPr>
      <w:r>
        <w:rPr>
          <w:rFonts w:ascii="Times New Roman" w:hAnsi="Times New Roman" w:cs="Times New Roman"/>
          <w:sz w:val="24"/>
          <w:szCs w:val="24"/>
        </w:rPr>
        <w:t>Izvještaj od izvršenju općeg dijela proračuna za razdoblje od 01. siječnja do 30. lipnja 2023. sadrži:</w:t>
      </w:r>
    </w:p>
    <w:p>
      <w:pPr>
        <w:pStyle w:val="Odlomakpopisa"/>
        <w:numPr>
          <w:ilvl w:val="0"/>
          <w:numId w:val="5"/>
        </w:numPr>
        <w:rPr>
          <w:rFonts w:ascii="Times New Roman" w:hAnsi="Times New Roman" w:cs="Times New Roman"/>
          <w:sz w:val="24"/>
          <w:szCs w:val="24"/>
        </w:rPr>
      </w:pPr>
      <w:r>
        <w:rPr>
          <w:rFonts w:ascii="Times New Roman" w:hAnsi="Times New Roman" w:cs="Times New Roman"/>
          <w:sz w:val="24"/>
          <w:szCs w:val="24"/>
        </w:rPr>
        <w:t>Sažetak Računa prihoda i rashoda i Računa financiranja,</w:t>
      </w:r>
    </w:p>
    <w:p>
      <w:pPr>
        <w:pStyle w:val="Odlomakpopisa"/>
        <w:numPr>
          <w:ilvl w:val="0"/>
          <w:numId w:val="5"/>
        </w:numPr>
        <w:rPr>
          <w:rFonts w:ascii="Times New Roman" w:hAnsi="Times New Roman" w:cs="Times New Roman"/>
          <w:sz w:val="24"/>
          <w:szCs w:val="24"/>
        </w:rPr>
      </w:pPr>
      <w:r>
        <w:rPr>
          <w:rFonts w:ascii="Times New Roman" w:hAnsi="Times New Roman" w:cs="Times New Roman"/>
          <w:sz w:val="24"/>
          <w:szCs w:val="24"/>
        </w:rPr>
        <w:t xml:space="preserve">Račun prihoda i rashoda i </w:t>
      </w:r>
    </w:p>
    <w:p>
      <w:pPr>
        <w:pStyle w:val="Odlomakpopisa"/>
        <w:numPr>
          <w:ilvl w:val="0"/>
          <w:numId w:val="5"/>
        </w:numPr>
        <w:rPr>
          <w:rFonts w:ascii="Times New Roman" w:hAnsi="Times New Roman" w:cs="Times New Roman"/>
          <w:sz w:val="24"/>
          <w:szCs w:val="24"/>
        </w:rPr>
      </w:pPr>
      <w:r>
        <w:rPr>
          <w:rFonts w:ascii="Times New Roman" w:hAnsi="Times New Roman" w:cs="Times New Roman"/>
          <w:sz w:val="24"/>
          <w:szCs w:val="24"/>
        </w:rPr>
        <w:t>Račun financiranja</w:t>
      </w:r>
    </w:p>
    <w:p>
      <w:pPr>
        <w:rPr>
          <w:rFonts w:ascii="Times New Roman" w:hAnsi="Times New Roman" w:cs="Times New Roman"/>
          <w:sz w:val="24"/>
          <w:szCs w:val="24"/>
        </w:rPr>
      </w:pPr>
    </w:p>
    <w:p>
      <w:pPr>
        <w:pStyle w:val="Odlomakpopisa"/>
        <w:numPr>
          <w:ilvl w:val="1"/>
          <w:numId w:val="6"/>
        </w:numPr>
        <w:rPr>
          <w:rFonts w:ascii="Times New Roman" w:hAnsi="Times New Roman" w:cs="Times New Roman"/>
          <w:b/>
          <w:sz w:val="24"/>
          <w:szCs w:val="24"/>
        </w:rPr>
      </w:pPr>
      <w:r>
        <w:rPr>
          <w:rFonts w:ascii="Times New Roman" w:hAnsi="Times New Roman" w:cs="Times New Roman"/>
          <w:b/>
          <w:sz w:val="24"/>
          <w:szCs w:val="24"/>
        </w:rPr>
        <w:t xml:space="preserve"> SAŽETAK A. RAČUNA PRIHODA I RASHODA I B. RAČUNA FINANCIRANJA</w:t>
      </w:r>
    </w:p>
    <w:p>
      <w:pPr>
        <w:jc w:val="both"/>
        <w:rPr>
          <w:rFonts w:ascii="Times New Roman" w:hAnsi="Times New Roman" w:cs="Times New Roman"/>
          <w:sz w:val="24"/>
          <w:szCs w:val="24"/>
        </w:rPr>
      </w:pPr>
      <w:r>
        <w:rPr>
          <w:rFonts w:ascii="Times New Roman" w:hAnsi="Times New Roman" w:cs="Times New Roman"/>
          <w:sz w:val="24"/>
          <w:szCs w:val="24"/>
        </w:rPr>
        <w:t>Sažetak A. Računa prihoda i rashoda i B. Računa financiranja daje prikaz ukupnih prihoda i primitaka te rashoda i izdataka na razini razreda ekonomske klasifikacije, kao i višak/manjak prihoda, gdje je u razdoblju od 1. siječnja do 30. lipnja 2023. ostvaren višak prihoda u iznosu od 212.789,81 EUR.</w:t>
      </w:r>
    </w:p>
    <w:p>
      <w:pPr>
        <w:jc w:val="both"/>
        <w:rPr>
          <w:rFonts w:ascii="Times New Roman" w:hAnsi="Times New Roman" w:cs="Times New Roman"/>
          <w:sz w:val="24"/>
          <w:szCs w:val="24"/>
        </w:rPr>
      </w:pPr>
      <w:r>
        <w:rPr>
          <w:rFonts w:ascii="Times New Roman" w:hAnsi="Times New Roman" w:cs="Times New Roman"/>
          <w:sz w:val="24"/>
          <w:szCs w:val="24"/>
        </w:rPr>
        <w:t>Sadrži i prikaz raspoloživih sredstva iz prethodnog razdoblja u iznosu od 132.700,00 EUR te konačni rezultat poslovanja za razdoblje od 1. siječnja do 30. lipnja 2023., odnosno višak prihoda u iznosu od 181.189,16 EUR.</w:t>
      </w:r>
    </w:p>
    <w:p>
      <w:pPr>
        <w:pStyle w:val="Odlomakpopisa"/>
        <w:numPr>
          <w:ilvl w:val="1"/>
          <w:numId w:val="6"/>
        </w:numPr>
        <w:jc w:val="both"/>
        <w:rPr>
          <w:rFonts w:ascii="Times New Roman" w:hAnsi="Times New Roman" w:cs="Times New Roman"/>
          <w:b/>
          <w:sz w:val="24"/>
          <w:szCs w:val="24"/>
        </w:rPr>
      </w:pPr>
      <w:r>
        <w:rPr>
          <w:rFonts w:ascii="Times New Roman" w:hAnsi="Times New Roman" w:cs="Times New Roman"/>
          <w:b/>
          <w:sz w:val="24"/>
          <w:szCs w:val="24"/>
        </w:rPr>
        <w:t xml:space="preserve"> RAČUN PRIHODA I RASHODA</w:t>
      </w:r>
    </w:p>
    <w:p>
      <w:pPr>
        <w:jc w:val="both"/>
        <w:rPr>
          <w:rFonts w:ascii="Times New Roman" w:hAnsi="Times New Roman" w:cs="Times New Roman"/>
          <w:sz w:val="24"/>
          <w:szCs w:val="24"/>
        </w:rPr>
      </w:pPr>
      <w:r>
        <w:rPr>
          <w:rFonts w:ascii="Times New Roman" w:hAnsi="Times New Roman" w:cs="Times New Roman"/>
          <w:sz w:val="24"/>
          <w:szCs w:val="24"/>
        </w:rPr>
        <w:t>Račun prihoda i rashoda iskazuje se na sljedećim tablicama:</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Prihodi i rashodi prema ekonomskoj klasifikaciji</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Prihodi i rashodi prema izvorima financiranja</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lastRenderedPageBreak/>
        <w:t>Rashodi prema funkcijskoj klasifikaciji</w:t>
      </w:r>
    </w:p>
    <w:p>
      <w:pPr>
        <w:pStyle w:val="Odlomakpopisa"/>
        <w:ind w:left="1080"/>
        <w:jc w:val="both"/>
        <w:rPr>
          <w:rFonts w:ascii="Times New Roman" w:hAnsi="Times New Roman" w:cs="Times New Roman"/>
          <w:sz w:val="24"/>
          <w:szCs w:val="24"/>
        </w:rPr>
      </w:pPr>
    </w:p>
    <w:p>
      <w:pPr>
        <w:pStyle w:val="Odlomakpopisa"/>
        <w:numPr>
          <w:ilvl w:val="2"/>
          <w:numId w:val="6"/>
        </w:numPr>
        <w:jc w:val="both"/>
        <w:rPr>
          <w:rFonts w:ascii="Times New Roman" w:hAnsi="Times New Roman" w:cs="Times New Roman"/>
          <w:b/>
          <w:sz w:val="24"/>
          <w:szCs w:val="24"/>
        </w:rPr>
      </w:pPr>
      <w:r>
        <w:rPr>
          <w:rFonts w:ascii="Times New Roman" w:hAnsi="Times New Roman" w:cs="Times New Roman"/>
          <w:b/>
          <w:sz w:val="24"/>
          <w:szCs w:val="24"/>
        </w:rPr>
        <w:t>Prihodi i rashodi prema ekonomskoj klasifikaciji</w:t>
      </w:r>
    </w:p>
    <w:p>
      <w:pPr>
        <w:jc w:val="both"/>
        <w:rPr>
          <w:rFonts w:ascii="Times New Roman" w:hAnsi="Times New Roman" w:cs="Times New Roman"/>
          <w:sz w:val="24"/>
          <w:szCs w:val="24"/>
        </w:rPr>
      </w:pPr>
      <w:r>
        <w:rPr>
          <w:rFonts w:ascii="Times New Roman" w:hAnsi="Times New Roman" w:cs="Times New Roman"/>
          <w:sz w:val="24"/>
          <w:szCs w:val="24"/>
        </w:rPr>
        <w:t>Račun prihoda i rashoda prema ekonomskoj klasifikaciji daje prikaz ukupnih prihoda (prihoda poslovanja) i rashoda (rashoda poslovanja i rashoda za nabavu nefinancijske imovine).</w:t>
      </w:r>
    </w:p>
    <w:p>
      <w:pPr>
        <w:pStyle w:val="Odlomakpopisa"/>
        <w:numPr>
          <w:ilvl w:val="3"/>
          <w:numId w:val="6"/>
        </w:numPr>
        <w:jc w:val="both"/>
        <w:rPr>
          <w:rFonts w:ascii="Times New Roman" w:hAnsi="Times New Roman" w:cs="Times New Roman"/>
          <w:b/>
          <w:sz w:val="24"/>
          <w:szCs w:val="24"/>
        </w:rPr>
      </w:pPr>
      <w:r>
        <w:rPr>
          <w:rFonts w:ascii="Times New Roman" w:hAnsi="Times New Roman" w:cs="Times New Roman"/>
          <w:b/>
          <w:sz w:val="24"/>
          <w:szCs w:val="24"/>
        </w:rPr>
        <w:t xml:space="preserve"> PRIHODI</w:t>
      </w:r>
    </w:p>
    <w:p>
      <w:pPr>
        <w:jc w:val="both"/>
        <w:rPr>
          <w:rFonts w:ascii="Times New Roman" w:hAnsi="Times New Roman" w:cs="Times New Roman"/>
          <w:sz w:val="24"/>
          <w:szCs w:val="24"/>
        </w:rPr>
      </w:pPr>
      <w:r>
        <w:rPr>
          <w:rFonts w:ascii="Times New Roman" w:hAnsi="Times New Roman" w:cs="Times New Roman"/>
          <w:sz w:val="24"/>
          <w:szCs w:val="24"/>
        </w:rPr>
        <w:t xml:space="preserve">Prihodi (skupina 6)  su ostvareni u iznosu od 915.502,70 EUR, što je 60,64% u odnosu na plan. </w:t>
      </w:r>
    </w:p>
    <w:p>
      <w:pPr>
        <w:jc w:val="both"/>
        <w:rPr>
          <w:rFonts w:ascii="Times New Roman" w:hAnsi="Times New Roman" w:cs="Times New Roman"/>
          <w:sz w:val="24"/>
          <w:szCs w:val="24"/>
        </w:rPr>
      </w:pPr>
      <w:r>
        <w:rPr>
          <w:rFonts w:ascii="Times New Roman" w:hAnsi="Times New Roman" w:cs="Times New Roman"/>
          <w:sz w:val="24"/>
          <w:szCs w:val="24"/>
        </w:rPr>
        <w:t>Prihodi od poreza (61) ostvareni su u iznosu od 616.324,68 EUR, što je 78,88% u odnosu na plan, u prihodima sudjeluju sa 67,32%, a čine ih:</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Porez i prirez na dohodak u iznosu od 479.785,19 EUR,</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Porez na imovinu u iznosu od 133.373,07 EUR,</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Porez na robu i usluge u iznosu od 3.166,42 EUR,</w:t>
      </w:r>
    </w:p>
    <w:p>
      <w:pPr>
        <w:jc w:val="both"/>
        <w:rPr>
          <w:rFonts w:ascii="Times New Roman" w:hAnsi="Times New Roman" w:cs="Times New Roman"/>
          <w:sz w:val="24"/>
          <w:szCs w:val="24"/>
        </w:rPr>
      </w:pPr>
      <w:r>
        <w:rPr>
          <w:rFonts w:ascii="Times New Roman" w:hAnsi="Times New Roman" w:cs="Times New Roman"/>
          <w:sz w:val="24"/>
          <w:szCs w:val="24"/>
        </w:rPr>
        <w:t>Pomoći iz inozemstva i od subjekata unutar općeg proračuna (63) su ostvareni u iznosu od 148.409,50 EUR, što je 46,36% u odnosu na plan, u prihodima sudjeluju sa 16,21%, a odnose se na tekuće pomoći Ministarstva financija na ime fiskalnog izravnanja.</w:t>
      </w:r>
    </w:p>
    <w:p>
      <w:pPr>
        <w:jc w:val="both"/>
        <w:rPr>
          <w:rFonts w:ascii="Times New Roman" w:hAnsi="Times New Roman" w:cs="Times New Roman"/>
          <w:sz w:val="24"/>
          <w:szCs w:val="24"/>
        </w:rPr>
      </w:pPr>
      <w:r>
        <w:rPr>
          <w:rFonts w:ascii="Times New Roman" w:hAnsi="Times New Roman" w:cs="Times New Roman"/>
          <w:sz w:val="24"/>
          <w:szCs w:val="24"/>
        </w:rPr>
        <w:t>Prohod od imovine (64) ostvareni su u iznosu od 29.482,58 EUR, što je 76,58% u odnosu na plan, u prihodima sudjeluju sa 3,22%, a odnose se na Prihode od nefinancijske imovine: naknada za koncesiju ostvareni u iznosu od 5.906,04 EUR, prihodi od zakupa i iznajmljivanja imovine ostvareni u iznosu od 23.536,74 EUR i ostalih prihoda od nefinancijske imovine ostvareni u iznosu od 39,80 EUR.</w:t>
      </w:r>
    </w:p>
    <w:p>
      <w:pPr>
        <w:jc w:val="both"/>
        <w:rPr>
          <w:rFonts w:ascii="Times New Roman" w:hAnsi="Times New Roman" w:cs="Times New Roman"/>
          <w:sz w:val="24"/>
          <w:szCs w:val="24"/>
        </w:rPr>
      </w:pPr>
      <w:r>
        <w:rPr>
          <w:rFonts w:ascii="Times New Roman" w:hAnsi="Times New Roman" w:cs="Times New Roman"/>
          <w:sz w:val="24"/>
          <w:szCs w:val="24"/>
        </w:rPr>
        <w:t xml:space="preserve">Prihodi od upravnih i administrativnih pristojbi, pristojbi po posebnim propisima i naknada (65) ostvareni su u iznosu od 103.355,15 EUR, što je 29,36% u odnosu na plan, u prihodima sudjeluju sa 11,29%, a čine ih: </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Upravne i administrativne pristojbe u iznosu od 1.791,13 EUR,</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Komunalni doprinosi i naknade u iznosu od 101.564,02 EUR</w:t>
      </w:r>
    </w:p>
    <w:p>
      <w:pPr>
        <w:jc w:val="both"/>
        <w:rPr>
          <w:rFonts w:ascii="Times New Roman" w:hAnsi="Times New Roman" w:cs="Times New Roman"/>
          <w:sz w:val="24"/>
          <w:szCs w:val="24"/>
        </w:rPr>
      </w:pPr>
      <w:r>
        <w:rPr>
          <w:rFonts w:ascii="Times New Roman" w:hAnsi="Times New Roman" w:cs="Times New Roman"/>
          <w:sz w:val="24"/>
          <w:szCs w:val="24"/>
        </w:rPr>
        <w:t>Prihodi od prodaje proizvoda i roba te pruženih usluga i prihodi od donacija (66) ostvareni su u iznosu od 17.472,33 EUR, što je 100% više u odnosu na plan, u prihodima sudjeluju sa 1,91%, a odnosi se na donacije od pravnih i fizičkih osoba izvan općeg proračuna.</w:t>
      </w:r>
    </w:p>
    <w:p>
      <w:pPr>
        <w:jc w:val="both"/>
        <w:rPr>
          <w:rFonts w:ascii="Times New Roman" w:hAnsi="Times New Roman" w:cs="Times New Roman"/>
          <w:sz w:val="24"/>
          <w:szCs w:val="24"/>
        </w:rPr>
      </w:pPr>
      <w:r>
        <w:rPr>
          <w:rFonts w:ascii="Times New Roman" w:hAnsi="Times New Roman" w:cs="Times New Roman"/>
          <w:sz w:val="24"/>
          <w:szCs w:val="24"/>
        </w:rPr>
        <w:t>Kazne, upravne mjere i ostali prihodi (68) ostvareni su u iznosu od 458,46 EUR, što je 9,75% u odnosu na plan, u prihodima sudjeluju sa 0,05%, a čine ih ostali prihodi.</w:t>
      </w:r>
    </w:p>
    <w:p>
      <w:pPr>
        <w:pStyle w:val="Odlomakpopisa"/>
        <w:numPr>
          <w:ilvl w:val="3"/>
          <w:numId w:val="6"/>
        </w:numPr>
        <w:jc w:val="both"/>
        <w:rPr>
          <w:rFonts w:ascii="Times New Roman" w:hAnsi="Times New Roman" w:cs="Times New Roman"/>
          <w:b/>
          <w:sz w:val="24"/>
          <w:szCs w:val="24"/>
        </w:rPr>
      </w:pPr>
      <w:r>
        <w:rPr>
          <w:rFonts w:ascii="Times New Roman" w:hAnsi="Times New Roman" w:cs="Times New Roman"/>
          <w:b/>
          <w:sz w:val="24"/>
          <w:szCs w:val="24"/>
        </w:rPr>
        <w:t xml:space="preserve"> RASHODI</w:t>
      </w:r>
    </w:p>
    <w:p>
      <w:pPr>
        <w:jc w:val="both"/>
        <w:rPr>
          <w:rFonts w:ascii="Times New Roman" w:hAnsi="Times New Roman" w:cs="Times New Roman"/>
          <w:sz w:val="24"/>
          <w:szCs w:val="24"/>
        </w:rPr>
      </w:pPr>
      <w:r>
        <w:rPr>
          <w:rFonts w:ascii="Times New Roman" w:hAnsi="Times New Roman" w:cs="Times New Roman"/>
          <w:sz w:val="24"/>
          <w:szCs w:val="24"/>
        </w:rPr>
        <w:t>Rashodi (skupina 3 + skupina 4) su izvršeni u iznosu od 702.712,89 EUR, što je 44,67% u odnosu na plan. Odnose se na rashode poslovanja u iznosu od 381.131,97 EUR, koji u rashodima sudjeluju sa 54,24% i rashode za nabavu nefinancijske imovine u iznosu od 321.580,92 EUR, koji u rashodima sudjeluju sa 45,76%.</w:t>
      </w:r>
    </w:p>
    <w:p>
      <w:pPr>
        <w:jc w:val="both"/>
        <w:rPr>
          <w:rFonts w:ascii="Times New Roman" w:hAnsi="Times New Roman" w:cs="Times New Roman"/>
          <w:sz w:val="24"/>
          <w:szCs w:val="24"/>
        </w:rPr>
      </w:pPr>
      <w:r>
        <w:rPr>
          <w:rFonts w:ascii="Times New Roman" w:hAnsi="Times New Roman" w:cs="Times New Roman"/>
          <w:sz w:val="24"/>
          <w:szCs w:val="24"/>
        </w:rPr>
        <w:t>RASHODI POSLOVANJA (3)</w:t>
      </w:r>
    </w:p>
    <w:p>
      <w:pPr>
        <w:jc w:val="both"/>
        <w:rPr>
          <w:rFonts w:ascii="Times New Roman" w:hAnsi="Times New Roman" w:cs="Times New Roman"/>
          <w:sz w:val="24"/>
          <w:szCs w:val="24"/>
        </w:rPr>
      </w:pPr>
      <w:r>
        <w:rPr>
          <w:rFonts w:ascii="Times New Roman" w:hAnsi="Times New Roman" w:cs="Times New Roman"/>
          <w:sz w:val="24"/>
          <w:szCs w:val="24"/>
        </w:rPr>
        <w:t xml:space="preserve">Rashodi za zaposlene (31) ostvareni su u iznosu od 61.896,85 EUR, što je 44,47% u odnosu na plan, u rashodima sudjeluju sa 8,80%. Odnose se na plaće za zaposlene u iznosu od 42.985,04 </w:t>
      </w:r>
      <w:r>
        <w:rPr>
          <w:rFonts w:ascii="Times New Roman" w:hAnsi="Times New Roman" w:cs="Times New Roman"/>
          <w:sz w:val="24"/>
          <w:szCs w:val="24"/>
        </w:rPr>
        <w:lastRenderedPageBreak/>
        <w:t>EUR, ostali rashodi za zaposlene u iznosu od 331,81 EUR, doprinosa na plaće u iznosu od 18.580,00 EUR.</w:t>
      </w:r>
    </w:p>
    <w:p>
      <w:pPr>
        <w:jc w:val="both"/>
        <w:rPr>
          <w:rFonts w:ascii="Times New Roman" w:hAnsi="Times New Roman" w:cs="Times New Roman"/>
          <w:sz w:val="24"/>
          <w:szCs w:val="24"/>
        </w:rPr>
      </w:pPr>
      <w:r>
        <w:rPr>
          <w:rFonts w:ascii="Times New Roman" w:hAnsi="Times New Roman" w:cs="Times New Roman"/>
          <w:sz w:val="24"/>
          <w:szCs w:val="24"/>
        </w:rPr>
        <w:t>Materijani rashodi (32) ostvareni su u iznosu od 179.947,43 EUR, što je 32,95% u odnosu na plan, u rashodima sudjeluju sa 25,61%. Odnose se na: naknade troškova zaposlenima u iznosu od 1.410,88 EUR, rashode za materijal i energiju u iznosu 29.059,04 EUR, vrijednosno najznačajniji su rashodi za usluge u iznosu od 139.383,99 EUR (najviše rashoda odlazi na tekuće i investicijsko održavanje u iznosu 101.265,22 EUR, te na intelektualne i osobne usluge u iznosu 14.954,39 EUR), te ostali nespomenuti rashodi poslovanja u iznosu 10.093,52 EUR.</w:t>
      </w:r>
    </w:p>
    <w:p>
      <w:pPr>
        <w:jc w:val="both"/>
        <w:rPr>
          <w:rFonts w:ascii="Times New Roman" w:hAnsi="Times New Roman" w:cs="Times New Roman"/>
          <w:sz w:val="24"/>
          <w:szCs w:val="24"/>
        </w:rPr>
      </w:pPr>
      <w:r>
        <w:rPr>
          <w:rFonts w:ascii="Times New Roman" w:hAnsi="Times New Roman" w:cs="Times New Roman"/>
          <w:sz w:val="24"/>
          <w:szCs w:val="24"/>
        </w:rPr>
        <w:t xml:space="preserve">Financijski rashodi (34) ostvareni su u iznosu od 8.579,34 EUR, što je 47,14% u odnosu na plan, u rashodima sudjeluju sa 1,22%, a odnose se na usluge platnog prometa, zatezne kamate te ostale nespomenute financijske rashode. </w:t>
      </w:r>
    </w:p>
    <w:p>
      <w:pPr>
        <w:jc w:val="both"/>
        <w:rPr>
          <w:rFonts w:ascii="Times New Roman" w:hAnsi="Times New Roman" w:cs="Times New Roman"/>
          <w:sz w:val="24"/>
          <w:szCs w:val="24"/>
        </w:rPr>
      </w:pPr>
      <w:r>
        <w:rPr>
          <w:rFonts w:ascii="Times New Roman" w:hAnsi="Times New Roman" w:cs="Times New Roman"/>
          <w:sz w:val="24"/>
          <w:szCs w:val="24"/>
        </w:rPr>
        <w:t xml:space="preserve">Naknade građanima i kućanstvima na temelju osiguranja i druge naknade (37) ostvareni su u iznosu od 92.605,13 EUR, što je 42,34% u odnosu na plan, u rashodima sudjeluju sa 13,18%. Odnose se na novčane pomoći za novorođenu djecu i novosklopljene brakove. </w:t>
      </w:r>
    </w:p>
    <w:p>
      <w:pPr>
        <w:jc w:val="both"/>
        <w:rPr>
          <w:rFonts w:ascii="Times New Roman" w:hAnsi="Times New Roman" w:cs="Times New Roman"/>
          <w:sz w:val="24"/>
          <w:szCs w:val="24"/>
        </w:rPr>
      </w:pPr>
      <w:r>
        <w:rPr>
          <w:rFonts w:ascii="Times New Roman" w:hAnsi="Times New Roman" w:cs="Times New Roman"/>
          <w:sz w:val="24"/>
          <w:szCs w:val="24"/>
        </w:rPr>
        <w:t>Ostali rashodi (38) ostvareni su u iznosu od 38.103,22 EUR, što je 41,51% u odnosu na plan, u rashodima sudjeluju sa 5,42%, a odnose se na donacije za DVD Bilice i za Turističku zajednicu Općine Bilice, Crveni križ, refundaciju za Šibensko-kninsku županiju prema ugovoru o financiranju službenika Šibensko-kninske županije.</w:t>
      </w:r>
    </w:p>
    <w:p>
      <w:pPr>
        <w:jc w:val="both"/>
        <w:rPr>
          <w:rFonts w:ascii="Times New Roman" w:hAnsi="Times New Roman" w:cs="Times New Roman"/>
          <w:sz w:val="24"/>
          <w:szCs w:val="24"/>
        </w:rPr>
      </w:pPr>
      <w:r>
        <w:rPr>
          <w:rFonts w:ascii="Times New Roman" w:hAnsi="Times New Roman" w:cs="Times New Roman"/>
          <w:sz w:val="24"/>
          <w:szCs w:val="24"/>
        </w:rPr>
        <w:t>RASHODI ZA NABAVU NEFINANCIJSKE IMOVINE (4)</w:t>
      </w:r>
    </w:p>
    <w:p>
      <w:pPr>
        <w:jc w:val="both"/>
        <w:rPr>
          <w:rFonts w:ascii="Times New Roman" w:hAnsi="Times New Roman" w:cs="Times New Roman"/>
          <w:sz w:val="24"/>
          <w:szCs w:val="24"/>
        </w:rPr>
      </w:pPr>
      <w:r>
        <w:rPr>
          <w:rFonts w:ascii="Times New Roman" w:hAnsi="Times New Roman" w:cs="Times New Roman"/>
          <w:sz w:val="24"/>
          <w:szCs w:val="24"/>
        </w:rPr>
        <w:t xml:space="preserve">Rashodi za nabavu neproizvedene dugotrajne imovine (41) ) ostvareni su u iznosu od 2.600,00 EUR, a odnosi se na projektnu dokumentaciju za uređenje prometa u ulici Bosuć. </w:t>
      </w:r>
    </w:p>
    <w:p>
      <w:pPr>
        <w:jc w:val="both"/>
        <w:rPr>
          <w:rFonts w:ascii="Times New Roman" w:hAnsi="Times New Roman" w:cs="Times New Roman"/>
          <w:sz w:val="24"/>
          <w:szCs w:val="24"/>
        </w:rPr>
      </w:pPr>
      <w:r>
        <w:rPr>
          <w:rFonts w:ascii="Times New Roman" w:hAnsi="Times New Roman" w:cs="Times New Roman"/>
          <w:sz w:val="24"/>
          <w:szCs w:val="24"/>
        </w:rPr>
        <w:t>Rashodi za nabavu proizvedene dugotrajne imovine (42) ostvareni su u iznosu od 318.980,92 EUR, što je 61,44% u odnosu na plan, u rashodima sudjeluju sa 45,39%. Odnose se na: rashode za građevinske objekte u iznosu 299.111,23 EUR (zgrada Općine), postrojenja i oprema u iznosu 16.460,31 EUR (oprema za zgradu Općine) i nematerijalna proizvedena imovina u iznosu 3.409,38 EUR (aplikacija Uredsko poslovanje).</w:t>
      </w:r>
    </w:p>
    <w:p>
      <w:pPr>
        <w:pStyle w:val="Odlomakpopisa"/>
        <w:numPr>
          <w:ilvl w:val="2"/>
          <w:numId w:val="6"/>
        </w:numPr>
        <w:jc w:val="both"/>
        <w:rPr>
          <w:rFonts w:ascii="Times New Roman" w:hAnsi="Times New Roman" w:cs="Times New Roman"/>
          <w:b/>
          <w:sz w:val="24"/>
          <w:szCs w:val="24"/>
        </w:rPr>
      </w:pPr>
      <w:r>
        <w:rPr>
          <w:rFonts w:ascii="Times New Roman" w:hAnsi="Times New Roman" w:cs="Times New Roman"/>
          <w:b/>
          <w:sz w:val="24"/>
          <w:szCs w:val="24"/>
        </w:rPr>
        <w:t xml:space="preserve">Prihodi i rashodi prema izvorima financiranja </w:t>
      </w:r>
    </w:p>
    <w:p>
      <w:pPr>
        <w:jc w:val="both"/>
        <w:rPr>
          <w:rFonts w:ascii="Times New Roman" w:hAnsi="Times New Roman" w:cs="Times New Roman"/>
          <w:sz w:val="24"/>
          <w:szCs w:val="24"/>
        </w:rPr>
      </w:pPr>
      <w:r>
        <w:rPr>
          <w:rFonts w:ascii="Times New Roman" w:hAnsi="Times New Roman" w:cs="Times New Roman"/>
          <w:sz w:val="24"/>
          <w:szCs w:val="24"/>
        </w:rPr>
        <w:t>Za izvršenje rashoda planirani su izvori financiranja, koje čine prihodi iz kojih se podmiruju rashodi određene vrste i utvrđene namjene. Za svaki planirani prihod određeno je uz koji izvor financiranja se veže, a rashodi se mogu izvršavati do visine planiranih ili ostvarenih prihoda po izvorima.</w:t>
      </w:r>
    </w:p>
    <w:p>
      <w:pPr>
        <w:jc w:val="both"/>
        <w:rPr>
          <w:rFonts w:ascii="Times New Roman" w:hAnsi="Times New Roman" w:cs="Times New Roman"/>
          <w:sz w:val="24"/>
          <w:szCs w:val="24"/>
        </w:rPr>
      </w:pPr>
      <w:r>
        <w:rPr>
          <w:rFonts w:ascii="Times New Roman" w:hAnsi="Times New Roman" w:cs="Times New Roman"/>
          <w:sz w:val="24"/>
          <w:szCs w:val="24"/>
        </w:rPr>
        <w:t>Prihodi (skupina 6) ostvareni su u ukupnom iznosu od 915.502,70 EUR, što je 60,64% u odnosu na plan, kako slijedi:</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Opći prihodi i primici u iznosu od 646.387,85 EUR, što je 78,20% u odnosu na plan, čine ih prihodi od poreza, prihodi od nefinancijske imovine, prihodi od administrativnih (upravnih) pristojbi te opći prihodi i primici.</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Prihodi od posebne namjene u iznosu od 101.564,02 EUR, što je 29,82% u odnosu na plan, a čine ih prihodi od komunalne naknade i prihodi od komunalnog doprinosa.</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Pomoći u iznosu od 148.409,50 EUR, što je 46,36% u odnosu na plan, a čine ih tekuće pomoći iz državnog proračuna i tekuće pomoći iz županijskog proračuna.</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lastRenderedPageBreak/>
        <w:t>Donacije u iznosu od 19.141,33 EUR, što je 85,07% u odnosu na plan, a čine ih prihodi ostvareni od fizičkih osoba, prihodi od neprofitnih organizacija i prihodi od trgovačkih društava.</w:t>
      </w:r>
    </w:p>
    <w:p>
      <w:pPr>
        <w:jc w:val="both"/>
        <w:rPr>
          <w:rFonts w:ascii="Times New Roman" w:hAnsi="Times New Roman" w:cs="Times New Roman"/>
          <w:sz w:val="24"/>
          <w:szCs w:val="24"/>
        </w:rPr>
      </w:pPr>
      <w:r>
        <w:rPr>
          <w:rFonts w:ascii="Times New Roman" w:hAnsi="Times New Roman" w:cs="Times New Roman"/>
          <w:sz w:val="24"/>
          <w:szCs w:val="24"/>
        </w:rPr>
        <w:t>Rashodi (skupina 3 + skupina 4) izvršeni su u iznosu od 702.712,89 EUR, što je 44,67% u odnosu na plan, iz izvora kako slijedi:</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Opći prihodi i primici u iznosu od 309.307,50 EUR, što je 40,85% u odnosu na plan,</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Prihodi za posebne namjene u iznosu od 46.240,82 EUR, što je 13,58% u odnosu na plan,</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Pomoći u iznosu od 94.483,44 EUR, što je 29,52% u odnosu na plan,</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Donacije u iznos od 13.745,87 EUR, što je 61,09% u odnosu na plan,</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Namjenski izbori za program građenja u iznosu od 238.935,26 EUR, što je 100% u odnosu na plan (radi se o neiskorištenom iznosu sredstava od kredita)</w:t>
      </w:r>
    </w:p>
    <w:p>
      <w:pPr>
        <w:pStyle w:val="Odlomakpopisa"/>
        <w:ind w:left="1080"/>
        <w:jc w:val="both"/>
        <w:rPr>
          <w:rFonts w:ascii="Times New Roman" w:hAnsi="Times New Roman" w:cs="Times New Roman"/>
          <w:sz w:val="24"/>
          <w:szCs w:val="24"/>
        </w:rPr>
      </w:pPr>
    </w:p>
    <w:p>
      <w:pPr>
        <w:pStyle w:val="Odlomakpopisa"/>
        <w:numPr>
          <w:ilvl w:val="2"/>
          <w:numId w:val="6"/>
        </w:numPr>
        <w:jc w:val="both"/>
        <w:rPr>
          <w:rFonts w:ascii="Times New Roman" w:hAnsi="Times New Roman" w:cs="Times New Roman"/>
          <w:b/>
          <w:sz w:val="24"/>
          <w:szCs w:val="24"/>
        </w:rPr>
      </w:pPr>
      <w:r>
        <w:rPr>
          <w:rFonts w:ascii="Times New Roman" w:hAnsi="Times New Roman" w:cs="Times New Roman"/>
          <w:b/>
          <w:sz w:val="24"/>
          <w:szCs w:val="24"/>
        </w:rPr>
        <w:t>Rashodi prema funkcijskoj klasifikaciji</w:t>
      </w:r>
    </w:p>
    <w:p>
      <w:pPr>
        <w:jc w:val="both"/>
        <w:rPr>
          <w:rFonts w:ascii="Times New Roman" w:hAnsi="Times New Roman" w:cs="Times New Roman"/>
          <w:sz w:val="24"/>
          <w:szCs w:val="24"/>
        </w:rPr>
      </w:pPr>
      <w:r>
        <w:rPr>
          <w:rFonts w:ascii="Times New Roman" w:hAnsi="Times New Roman" w:cs="Times New Roman"/>
          <w:sz w:val="24"/>
          <w:szCs w:val="24"/>
        </w:rPr>
        <w:t>Rashodi prema funkcijskoj klasifikaciji daju prikaz izvršenih rashoda prema njihovoj namjeni, odnosno funkciji.</w:t>
      </w:r>
    </w:p>
    <w:p>
      <w:pPr>
        <w:jc w:val="both"/>
        <w:rPr>
          <w:rFonts w:ascii="Times New Roman" w:hAnsi="Times New Roman" w:cs="Times New Roman"/>
          <w:sz w:val="24"/>
          <w:szCs w:val="24"/>
        </w:rPr>
      </w:pPr>
      <w:r>
        <w:rPr>
          <w:rFonts w:ascii="Times New Roman" w:hAnsi="Times New Roman" w:cs="Times New Roman"/>
          <w:sz w:val="24"/>
          <w:szCs w:val="24"/>
        </w:rPr>
        <w:t>Ukupni rashodi izvršeni su u iznosu od 702.712,89 EUR, što je 44,67 % u odnosu na plan i razvrstani su kroz devet funkcija. Iz izvršenja rashoda prema funkcijskoj klasifikaciji vidljivo je da su svi rashodi izvršeni u skladu s planom.</w:t>
      </w:r>
    </w:p>
    <w:p>
      <w:pPr>
        <w:pStyle w:val="Odlomakpopisa"/>
        <w:numPr>
          <w:ilvl w:val="1"/>
          <w:numId w:val="3"/>
        </w:numPr>
        <w:jc w:val="both"/>
        <w:rPr>
          <w:rFonts w:ascii="Times New Roman" w:hAnsi="Times New Roman" w:cs="Times New Roman"/>
          <w:b/>
          <w:sz w:val="24"/>
          <w:szCs w:val="24"/>
        </w:rPr>
      </w:pPr>
      <w:r>
        <w:rPr>
          <w:rFonts w:ascii="Times New Roman" w:hAnsi="Times New Roman" w:cs="Times New Roman"/>
          <w:b/>
          <w:sz w:val="24"/>
          <w:szCs w:val="24"/>
        </w:rPr>
        <w:t>RAČUN FINANCIRANJA</w:t>
      </w:r>
    </w:p>
    <w:p>
      <w:pPr>
        <w:jc w:val="both"/>
        <w:rPr>
          <w:rFonts w:ascii="Times New Roman" w:hAnsi="Times New Roman" w:cs="Times New Roman"/>
          <w:sz w:val="24"/>
          <w:szCs w:val="24"/>
        </w:rPr>
      </w:pPr>
      <w:r>
        <w:rPr>
          <w:rFonts w:ascii="Times New Roman" w:hAnsi="Times New Roman" w:cs="Times New Roman"/>
          <w:sz w:val="24"/>
          <w:szCs w:val="24"/>
        </w:rPr>
        <w:t>Račun financiranja sadrži prikaz primitaka i izdataka i iskazuje se prema proračunskim klasifikacijama u izvještaju:</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Izvještaj računa financiranja prema ekonomskoj klasifikaciji,</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Izvještaj računa financiranja prema izvorima financiranja</w:t>
      </w:r>
    </w:p>
    <w:p>
      <w:pPr>
        <w:pStyle w:val="Odlomakpopisa"/>
        <w:ind w:left="1080"/>
        <w:jc w:val="both"/>
        <w:rPr>
          <w:rFonts w:ascii="Times New Roman" w:hAnsi="Times New Roman" w:cs="Times New Roman"/>
          <w:sz w:val="24"/>
          <w:szCs w:val="24"/>
        </w:rPr>
      </w:pPr>
    </w:p>
    <w:p>
      <w:pPr>
        <w:pStyle w:val="Odlomakpopisa"/>
        <w:numPr>
          <w:ilvl w:val="2"/>
          <w:numId w:val="3"/>
        </w:numPr>
        <w:jc w:val="both"/>
        <w:rPr>
          <w:rFonts w:ascii="Times New Roman" w:hAnsi="Times New Roman" w:cs="Times New Roman"/>
          <w:b/>
          <w:sz w:val="24"/>
          <w:szCs w:val="24"/>
        </w:rPr>
      </w:pPr>
      <w:r>
        <w:rPr>
          <w:rFonts w:ascii="Times New Roman" w:hAnsi="Times New Roman" w:cs="Times New Roman"/>
          <w:b/>
          <w:sz w:val="24"/>
          <w:szCs w:val="24"/>
        </w:rPr>
        <w:t>Izvještaj računa financiranja prema ekonomskoj klasifikaciji</w:t>
      </w:r>
    </w:p>
    <w:p>
      <w:pPr>
        <w:jc w:val="both"/>
        <w:rPr>
          <w:rFonts w:ascii="Times New Roman" w:hAnsi="Times New Roman" w:cs="Times New Roman"/>
          <w:sz w:val="24"/>
          <w:szCs w:val="24"/>
        </w:rPr>
      </w:pPr>
      <w:r>
        <w:rPr>
          <w:rFonts w:ascii="Times New Roman" w:hAnsi="Times New Roman" w:cs="Times New Roman"/>
          <w:sz w:val="24"/>
          <w:szCs w:val="24"/>
        </w:rPr>
        <w:t xml:space="preserve">Račun financiranja prema ekonomskoj klasifikaciji odnosi se na Izdatke za financijsku imovinu i otplatu zajmova (5) ostvaren je u iznosu od 31.600,65 EUR, što je 45,47% u odnosu na plan. </w:t>
      </w:r>
    </w:p>
    <w:p>
      <w:pPr>
        <w:pStyle w:val="Odlomakpopisa"/>
        <w:numPr>
          <w:ilvl w:val="2"/>
          <w:numId w:val="3"/>
        </w:numPr>
        <w:jc w:val="both"/>
        <w:rPr>
          <w:rFonts w:ascii="Times New Roman" w:hAnsi="Times New Roman" w:cs="Times New Roman"/>
          <w:b/>
          <w:sz w:val="24"/>
          <w:szCs w:val="24"/>
        </w:rPr>
      </w:pPr>
      <w:r>
        <w:rPr>
          <w:rFonts w:ascii="Times New Roman" w:hAnsi="Times New Roman" w:cs="Times New Roman"/>
          <w:b/>
          <w:sz w:val="24"/>
          <w:szCs w:val="24"/>
        </w:rPr>
        <w:t>Izvještaj računa financiranja prema izvorima financiranja</w:t>
      </w:r>
    </w:p>
    <w:p>
      <w:pPr>
        <w:jc w:val="both"/>
        <w:rPr>
          <w:rFonts w:ascii="Times New Roman" w:hAnsi="Times New Roman" w:cs="Times New Roman"/>
          <w:sz w:val="24"/>
          <w:szCs w:val="24"/>
        </w:rPr>
      </w:pPr>
      <w:r>
        <w:rPr>
          <w:rFonts w:ascii="Times New Roman" w:hAnsi="Times New Roman" w:cs="Times New Roman"/>
          <w:sz w:val="24"/>
          <w:szCs w:val="24"/>
        </w:rPr>
        <w:t xml:space="preserve">Račun financiranja prema izvorima financiranja odnosi se na podmirenje zajma iz prihoda od poreza koji su ostvareni u iznosu 31.600,65 EUR što je 45,47% u odnosu na plan. </w:t>
      </w:r>
    </w:p>
    <w:p>
      <w:pPr>
        <w:jc w:val="both"/>
        <w:rPr>
          <w:rFonts w:ascii="Times New Roman" w:hAnsi="Times New Roman" w:cs="Times New Roman"/>
          <w:sz w:val="24"/>
          <w:szCs w:val="24"/>
        </w:rPr>
      </w:pPr>
    </w:p>
    <w:p>
      <w:pPr>
        <w:pStyle w:val="Odlomakpopisa"/>
        <w:numPr>
          <w:ilvl w:val="0"/>
          <w:numId w:val="6"/>
        </w:numPr>
        <w:jc w:val="both"/>
        <w:rPr>
          <w:rFonts w:ascii="Times New Roman" w:hAnsi="Times New Roman" w:cs="Times New Roman"/>
          <w:b/>
          <w:sz w:val="24"/>
          <w:szCs w:val="24"/>
        </w:rPr>
      </w:pPr>
      <w:r>
        <w:rPr>
          <w:rFonts w:ascii="Times New Roman" w:hAnsi="Times New Roman" w:cs="Times New Roman"/>
          <w:b/>
          <w:sz w:val="24"/>
          <w:szCs w:val="24"/>
        </w:rPr>
        <w:t>POSEBAN DIO</w:t>
      </w:r>
    </w:p>
    <w:p>
      <w:pPr>
        <w:jc w:val="both"/>
        <w:rPr>
          <w:rFonts w:ascii="Times New Roman" w:hAnsi="Times New Roman" w:cs="Times New Roman"/>
          <w:sz w:val="24"/>
          <w:szCs w:val="24"/>
        </w:rPr>
      </w:pPr>
      <w:r>
        <w:rPr>
          <w:rFonts w:ascii="Times New Roman" w:hAnsi="Times New Roman" w:cs="Times New Roman"/>
          <w:sz w:val="24"/>
          <w:szCs w:val="24"/>
        </w:rPr>
        <w:t>Izvještaj o izvršenju posebnog dijela proračuna za razdoblje od 1. siječnja do 30. lipnja 2023. sadrži:</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Izvršenje po organizacijskoj klasifikaciji</w:t>
      </w:r>
    </w:p>
    <w:p>
      <w:pPr>
        <w:pStyle w:val="Odlomakpopisa"/>
        <w:numPr>
          <w:ilvl w:val="0"/>
          <w:numId w:val="5"/>
        </w:numPr>
        <w:jc w:val="both"/>
        <w:rPr>
          <w:rFonts w:ascii="Times New Roman" w:hAnsi="Times New Roman" w:cs="Times New Roman"/>
          <w:sz w:val="24"/>
          <w:szCs w:val="24"/>
        </w:rPr>
      </w:pPr>
      <w:r>
        <w:rPr>
          <w:rFonts w:ascii="Times New Roman" w:hAnsi="Times New Roman" w:cs="Times New Roman"/>
          <w:sz w:val="24"/>
          <w:szCs w:val="24"/>
        </w:rPr>
        <w:t>Izvršenje po programskoj klasifikaciji</w:t>
      </w:r>
    </w:p>
    <w:p>
      <w:pPr>
        <w:ind w:left="720"/>
        <w:jc w:val="both"/>
        <w:rPr>
          <w:rFonts w:ascii="Times New Roman" w:hAnsi="Times New Roman" w:cs="Times New Roman"/>
          <w:sz w:val="24"/>
          <w:szCs w:val="24"/>
        </w:rPr>
      </w:pPr>
    </w:p>
    <w:p>
      <w:pPr>
        <w:pStyle w:val="Odlomakpopisa"/>
        <w:numPr>
          <w:ilvl w:val="1"/>
          <w:numId w:val="6"/>
        </w:num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IZVRŠENJE PO ORGANIZACIJSKOJ KLASIFIKACIJI</w:t>
      </w:r>
    </w:p>
    <w:p>
      <w:pPr>
        <w:jc w:val="both"/>
        <w:rPr>
          <w:rFonts w:ascii="Times New Roman" w:hAnsi="Times New Roman" w:cs="Times New Roman"/>
          <w:sz w:val="24"/>
          <w:szCs w:val="24"/>
        </w:rPr>
      </w:pPr>
      <w:r>
        <w:rPr>
          <w:rFonts w:ascii="Times New Roman" w:hAnsi="Times New Roman" w:cs="Times New Roman"/>
          <w:sz w:val="24"/>
          <w:szCs w:val="24"/>
        </w:rPr>
        <w:t>Izvršenje po organizacijskoj klasifikaciji daje pregled izvršenja proračuna po razdjelu i glavama, ukupni rashodi u iznosu od 734.313,54 EUR izvršeni su kroz sljedeće razdjele:</w:t>
      </w:r>
    </w:p>
    <w:p>
      <w:pPr>
        <w:pStyle w:val="Odlomakpopisa"/>
        <w:numPr>
          <w:ilvl w:val="0"/>
          <w:numId w:val="8"/>
        </w:numPr>
        <w:jc w:val="both"/>
        <w:rPr>
          <w:rFonts w:ascii="Times New Roman" w:hAnsi="Times New Roman" w:cs="Times New Roman"/>
          <w:sz w:val="24"/>
          <w:szCs w:val="24"/>
        </w:rPr>
      </w:pPr>
      <w:r>
        <w:rPr>
          <w:rFonts w:ascii="Times New Roman" w:hAnsi="Times New Roman" w:cs="Times New Roman"/>
          <w:sz w:val="24"/>
          <w:szCs w:val="24"/>
        </w:rPr>
        <w:t>Razdjel 001- JEDINSTVENI UPRAVNI ODJEL – glava 00101 – Jedinstveni upravi odjel -  izvršeni su rashodi u iznosu 131.457,15 EUR što je 47,13% u odnosu na plan, a u ukupnim  rashodima sudjeluju sa 17,90%.</w:t>
      </w:r>
    </w:p>
    <w:p>
      <w:pPr>
        <w:pStyle w:val="Odlomakpopisa"/>
        <w:numPr>
          <w:ilvl w:val="0"/>
          <w:numId w:val="8"/>
        </w:numPr>
        <w:jc w:val="both"/>
        <w:rPr>
          <w:rFonts w:ascii="Times New Roman" w:hAnsi="Times New Roman" w:cs="Times New Roman"/>
          <w:sz w:val="24"/>
          <w:szCs w:val="24"/>
        </w:rPr>
      </w:pPr>
      <w:r>
        <w:rPr>
          <w:rFonts w:ascii="Times New Roman" w:hAnsi="Times New Roman" w:cs="Times New Roman"/>
          <w:sz w:val="24"/>
          <w:szCs w:val="24"/>
        </w:rPr>
        <w:t>Razdjel 002- URED NAČELNIKA – glava 00201 – Ured načelnika - izvršeni su rashodi u iznosu 2.238,20 EUR što je 23,81% u odnosu na plan, a u ukupnim  rashodima sudjeluju sa 0,30%.</w:t>
      </w:r>
    </w:p>
    <w:p>
      <w:pPr>
        <w:pStyle w:val="Odlomakpopisa"/>
        <w:numPr>
          <w:ilvl w:val="0"/>
          <w:numId w:val="8"/>
        </w:numPr>
        <w:jc w:val="both"/>
        <w:rPr>
          <w:rFonts w:ascii="Times New Roman" w:hAnsi="Times New Roman" w:cs="Times New Roman"/>
          <w:sz w:val="24"/>
          <w:szCs w:val="24"/>
        </w:rPr>
      </w:pPr>
      <w:r>
        <w:rPr>
          <w:rFonts w:ascii="Times New Roman" w:hAnsi="Times New Roman" w:cs="Times New Roman"/>
          <w:sz w:val="24"/>
          <w:szCs w:val="24"/>
        </w:rPr>
        <w:t>Razdjel 003 – OPĆINSKO VIJEĆA – glava 00301 – Općinsko vijeće - izvršeni su rashodi u iznosu 600.618,19 EUR što je 44,35% u odnosu na plan, a u ukupnim  rashodima sudjeluju sa 81,79%.</w:t>
      </w:r>
    </w:p>
    <w:p>
      <w:pPr>
        <w:pStyle w:val="Odlomakpopisa"/>
        <w:jc w:val="both"/>
        <w:rPr>
          <w:rFonts w:ascii="Times New Roman" w:hAnsi="Times New Roman" w:cs="Times New Roman"/>
          <w:sz w:val="24"/>
          <w:szCs w:val="24"/>
        </w:rPr>
      </w:pPr>
    </w:p>
    <w:p>
      <w:pPr>
        <w:pStyle w:val="Odlomakpopisa"/>
        <w:jc w:val="both"/>
        <w:rPr>
          <w:rFonts w:ascii="Times New Roman" w:hAnsi="Times New Roman" w:cs="Times New Roman"/>
          <w:sz w:val="24"/>
          <w:szCs w:val="24"/>
        </w:rPr>
      </w:pPr>
    </w:p>
    <w:p>
      <w:pPr>
        <w:pStyle w:val="Odlomakpopisa"/>
        <w:numPr>
          <w:ilvl w:val="1"/>
          <w:numId w:val="6"/>
        </w:numPr>
        <w:jc w:val="both"/>
        <w:rPr>
          <w:rFonts w:ascii="Times New Roman" w:hAnsi="Times New Roman" w:cs="Times New Roman"/>
          <w:b/>
          <w:sz w:val="24"/>
          <w:szCs w:val="24"/>
        </w:rPr>
      </w:pPr>
      <w:r>
        <w:rPr>
          <w:rFonts w:ascii="Times New Roman" w:hAnsi="Times New Roman" w:cs="Times New Roman"/>
          <w:b/>
          <w:sz w:val="24"/>
          <w:szCs w:val="24"/>
        </w:rPr>
        <w:t xml:space="preserve"> IZVRŠENJE PO PROGRAMSKOJ KLASIFIKACIJI</w:t>
      </w:r>
    </w:p>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RAZDJEL 001: JEDINSTVENI UPRAVNI ODJEL</w:t>
      </w:r>
    </w:p>
    <w:p>
      <w:pPr>
        <w:jc w:val="both"/>
        <w:rPr>
          <w:rFonts w:ascii="Times New Roman" w:hAnsi="Times New Roman" w:cs="Times New Roman"/>
          <w:b/>
          <w:sz w:val="24"/>
          <w:szCs w:val="24"/>
        </w:rPr>
      </w:pPr>
      <w:r>
        <w:rPr>
          <w:rFonts w:ascii="Times New Roman" w:hAnsi="Times New Roman" w:cs="Times New Roman"/>
          <w:b/>
          <w:sz w:val="24"/>
          <w:szCs w:val="24"/>
        </w:rPr>
        <w:t xml:space="preserve">UKUPNI RASHODI JEDINSTVENOG UPRAVNOG ODJELA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1827"/>
        <w:gridCol w:w="1686"/>
        <w:gridCol w:w="4724"/>
      </w:tblGrid>
      <w:tr>
        <w:tc>
          <w:tcPr>
            <w:tcW w:w="1227" w:type="dxa"/>
          </w:tcPr>
          <w:p>
            <w:pPr>
              <w:ind w:left="-142" w:right="-129"/>
              <w:jc w:val="center"/>
              <w:rPr>
                <w:b/>
                <w:bCs/>
                <w:color w:val="000000"/>
                <w:sz w:val="20"/>
                <w:szCs w:val="20"/>
              </w:rPr>
            </w:pPr>
            <w:r>
              <w:rPr>
                <w:b/>
                <w:bCs/>
                <w:color w:val="000000"/>
                <w:sz w:val="20"/>
                <w:szCs w:val="20"/>
              </w:rPr>
              <w:t>Razdjel</w:t>
            </w:r>
          </w:p>
        </w:tc>
        <w:tc>
          <w:tcPr>
            <w:tcW w:w="1827" w:type="dxa"/>
          </w:tcPr>
          <w:p>
            <w:pPr>
              <w:ind w:left="-108" w:right="-129"/>
              <w:jc w:val="center"/>
              <w:rPr>
                <w:b/>
                <w:bCs/>
                <w:color w:val="000000"/>
                <w:sz w:val="20"/>
                <w:szCs w:val="20"/>
              </w:rPr>
            </w:pPr>
            <w:r>
              <w:rPr>
                <w:b/>
                <w:bCs/>
                <w:color w:val="000000"/>
                <w:sz w:val="20"/>
                <w:szCs w:val="20"/>
              </w:rPr>
              <w:t>Izvorni plan 2023.</w:t>
            </w:r>
          </w:p>
        </w:tc>
        <w:tc>
          <w:tcPr>
            <w:tcW w:w="1686" w:type="dxa"/>
          </w:tcPr>
          <w:p>
            <w:pPr>
              <w:ind w:left="-108" w:right="-129"/>
              <w:jc w:val="center"/>
              <w:rPr>
                <w:b/>
                <w:bCs/>
                <w:color w:val="000000"/>
                <w:sz w:val="20"/>
                <w:szCs w:val="20"/>
              </w:rPr>
            </w:pPr>
            <w:r>
              <w:rPr>
                <w:b/>
                <w:bCs/>
                <w:color w:val="000000"/>
                <w:sz w:val="20"/>
                <w:szCs w:val="20"/>
              </w:rPr>
              <w:t xml:space="preserve">Izvršenje </w:t>
            </w:r>
          </w:p>
          <w:p>
            <w:pPr>
              <w:ind w:left="-108" w:right="-129"/>
              <w:jc w:val="center"/>
              <w:rPr>
                <w:b/>
                <w:bCs/>
                <w:color w:val="000000"/>
                <w:sz w:val="20"/>
                <w:szCs w:val="20"/>
              </w:rPr>
            </w:pPr>
            <w:r>
              <w:rPr>
                <w:b/>
                <w:bCs/>
                <w:color w:val="000000"/>
                <w:sz w:val="20"/>
                <w:szCs w:val="20"/>
              </w:rPr>
              <w:t>30.6.2023.</w:t>
            </w:r>
          </w:p>
        </w:tc>
        <w:tc>
          <w:tcPr>
            <w:tcW w:w="4724" w:type="dxa"/>
          </w:tcPr>
          <w:p>
            <w:pPr>
              <w:ind w:left="-108" w:right="-129"/>
              <w:jc w:val="center"/>
              <w:rPr>
                <w:b/>
                <w:bCs/>
                <w:color w:val="000000"/>
                <w:sz w:val="20"/>
                <w:szCs w:val="20"/>
              </w:rPr>
            </w:pPr>
            <w:r>
              <w:rPr>
                <w:b/>
                <w:bCs/>
                <w:color w:val="000000"/>
                <w:sz w:val="20"/>
                <w:szCs w:val="20"/>
              </w:rPr>
              <w:t xml:space="preserve">Indeks </w:t>
            </w:r>
          </w:p>
          <w:p>
            <w:pPr>
              <w:ind w:left="-108" w:right="-129"/>
              <w:jc w:val="center"/>
              <w:rPr>
                <w:b/>
                <w:bCs/>
                <w:color w:val="000000"/>
                <w:sz w:val="20"/>
                <w:szCs w:val="20"/>
              </w:rPr>
            </w:pPr>
            <w:r>
              <w:rPr>
                <w:b/>
                <w:bCs/>
                <w:color w:val="000000"/>
                <w:sz w:val="20"/>
                <w:szCs w:val="20"/>
              </w:rPr>
              <w:t>Izvršenje 30.6.2023./ Izvorni plan 2023.</w:t>
            </w:r>
          </w:p>
        </w:tc>
      </w:tr>
      <w:tr>
        <w:tc>
          <w:tcPr>
            <w:tcW w:w="1227" w:type="dxa"/>
          </w:tcPr>
          <w:p>
            <w:pPr>
              <w:ind w:left="-142" w:right="-129"/>
              <w:jc w:val="center"/>
              <w:rPr>
                <w:b/>
                <w:bCs/>
                <w:color w:val="000000"/>
                <w:sz w:val="20"/>
                <w:szCs w:val="20"/>
              </w:rPr>
            </w:pPr>
            <w:r>
              <w:rPr>
                <w:b/>
                <w:bCs/>
                <w:color w:val="000000"/>
                <w:sz w:val="20"/>
                <w:szCs w:val="20"/>
              </w:rPr>
              <w:t>001</w:t>
            </w:r>
          </w:p>
        </w:tc>
        <w:tc>
          <w:tcPr>
            <w:tcW w:w="1827" w:type="dxa"/>
          </w:tcPr>
          <w:p>
            <w:pPr>
              <w:ind w:left="-108" w:right="-129"/>
              <w:jc w:val="center"/>
              <w:rPr>
                <w:b/>
                <w:bCs/>
                <w:color w:val="000000"/>
                <w:sz w:val="20"/>
                <w:szCs w:val="20"/>
              </w:rPr>
            </w:pPr>
            <w:r>
              <w:rPr>
                <w:b/>
                <w:bCs/>
                <w:color w:val="000000"/>
                <w:sz w:val="20"/>
                <w:szCs w:val="20"/>
              </w:rPr>
              <w:t>278.900,00</w:t>
            </w:r>
          </w:p>
        </w:tc>
        <w:tc>
          <w:tcPr>
            <w:tcW w:w="1686" w:type="dxa"/>
            <w:vAlign w:val="center"/>
          </w:tcPr>
          <w:p>
            <w:pPr>
              <w:ind w:left="-108" w:right="-129"/>
              <w:jc w:val="center"/>
              <w:rPr>
                <w:b/>
                <w:bCs/>
                <w:color w:val="000000"/>
                <w:sz w:val="20"/>
                <w:szCs w:val="20"/>
              </w:rPr>
            </w:pPr>
            <w:r>
              <w:rPr>
                <w:b/>
                <w:bCs/>
                <w:color w:val="000000"/>
                <w:sz w:val="20"/>
                <w:szCs w:val="20"/>
              </w:rPr>
              <w:t>131.457,15</w:t>
            </w:r>
          </w:p>
        </w:tc>
        <w:tc>
          <w:tcPr>
            <w:tcW w:w="4724" w:type="dxa"/>
            <w:shd w:val="clear" w:color="auto" w:fill="auto"/>
            <w:vAlign w:val="center"/>
          </w:tcPr>
          <w:p>
            <w:pPr>
              <w:ind w:left="-108" w:right="-129"/>
              <w:jc w:val="center"/>
              <w:rPr>
                <w:b/>
                <w:bCs/>
                <w:color w:val="000000"/>
                <w:sz w:val="20"/>
                <w:szCs w:val="20"/>
              </w:rPr>
            </w:pPr>
            <w:r>
              <w:rPr>
                <w:b/>
                <w:bCs/>
                <w:color w:val="000000"/>
                <w:sz w:val="20"/>
                <w:szCs w:val="20"/>
              </w:rPr>
              <w:t>47,13%</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 xml:space="preserve">GLAVA 00101: JEDINSTVENI UPRAVNI ODJEL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1836"/>
        <w:gridCol w:w="1694"/>
        <w:gridCol w:w="4700"/>
      </w:tblGrid>
      <w:tr>
        <w:tc>
          <w:tcPr>
            <w:tcW w:w="1234" w:type="dxa"/>
          </w:tcPr>
          <w:p>
            <w:pPr>
              <w:ind w:left="-142" w:right="-114"/>
              <w:jc w:val="center"/>
              <w:rPr>
                <w:b/>
                <w:bCs/>
                <w:color w:val="000000"/>
                <w:sz w:val="20"/>
                <w:szCs w:val="20"/>
              </w:rPr>
            </w:pPr>
            <w:r>
              <w:rPr>
                <w:b/>
                <w:bCs/>
                <w:color w:val="000000"/>
                <w:sz w:val="20"/>
                <w:szCs w:val="20"/>
              </w:rPr>
              <w:t>Glava</w:t>
            </w:r>
          </w:p>
        </w:tc>
        <w:tc>
          <w:tcPr>
            <w:tcW w:w="1836" w:type="dxa"/>
          </w:tcPr>
          <w:p>
            <w:pPr>
              <w:ind w:left="-108" w:right="-114"/>
              <w:jc w:val="center"/>
              <w:rPr>
                <w:b/>
                <w:bCs/>
                <w:color w:val="000000"/>
                <w:sz w:val="20"/>
                <w:szCs w:val="20"/>
              </w:rPr>
            </w:pPr>
            <w:r>
              <w:rPr>
                <w:b/>
                <w:bCs/>
                <w:color w:val="000000"/>
                <w:sz w:val="20"/>
                <w:szCs w:val="20"/>
              </w:rPr>
              <w:t>Izvorni plan 2023.</w:t>
            </w:r>
          </w:p>
        </w:tc>
        <w:tc>
          <w:tcPr>
            <w:tcW w:w="1694"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700"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4" w:type="dxa"/>
          </w:tcPr>
          <w:p>
            <w:pPr>
              <w:ind w:left="-142" w:right="-114"/>
              <w:jc w:val="center"/>
              <w:rPr>
                <w:b/>
                <w:bCs/>
                <w:color w:val="000000"/>
                <w:sz w:val="20"/>
                <w:szCs w:val="20"/>
              </w:rPr>
            </w:pPr>
            <w:r>
              <w:rPr>
                <w:b/>
                <w:bCs/>
                <w:color w:val="000000"/>
                <w:sz w:val="20"/>
                <w:szCs w:val="20"/>
              </w:rPr>
              <w:t>00101</w:t>
            </w:r>
          </w:p>
        </w:tc>
        <w:tc>
          <w:tcPr>
            <w:tcW w:w="1836" w:type="dxa"/>
          </w:tcPr>
          <w:p>
            <w:pPr>
              <w:ind w:left="-108" w:right="-114"/>
              <w:jc w:val="center"/>
              <w:rPr>
                <w:b/>
                <w:bCs/>
                <w:color w:val="000000"/>
                <w:sz w:val="20"/>
                <w:szCs w:val="20"/>
              </w:rPr>
            </w:pPr>
            <w:r>
              <w:rPr>
                <w:b/>
                <w:bCs/>
                <w:color w:val="000000"/>
                <w:sz w:val="20"/>
                <w:szCs w:val="20"/>
              </w:rPr>
              <w:t>278.900,00</w:t>
            </w:r>
          </w:p>
        </w:tc>
        <w:tc>
          <w:tcPr>
            <w:tcW w:w="1694" w:type="dxa"/>
            <w:vAlign w:val="center"/>
          </w:tcPr>
          <w:p>
            <w:pPr>
              <w:ind w:left="-108" w:right="-114"/>
              <w:jc w:val="center"/>
              <w:rPr>
                <w:b/>
                <w:bCs/>
                <w:color w:val="000000"/>
                <w:sz w:val="20"/>
                <w:szCs w:val="20"/>
              </w:rPr>
            </w:pPr>
            <w:r>
              <w:rPr>
                <w:b/>
                <w:bCs/>
                <w:color w:val="000000"/>
                <w:sz w:val="20"/>
                <w:szCs w:val="20"/>
              </w:rPr>
              <w:t>131.457,15</w:t>
            </w:r>
          </w:p>
        </w:tc>
        <w:tc>
          <w:tcPr>
            <w:tcW w:w="4700" w:type="dxa"/>
            <w:vAlign w:val="center"/>
          </w:tcPr>
          <w:p>
            <w:pPr>
              <w:ind w:left="-108" w:right="-114"/>
              <w:jc w:val="center"/>
              <w:rPr>
                <w:b/>
                <w:bCs/>
                <w:color w:val="000000"/>
                <w:sz w:val="20"/>
                <w:szCs w:val="20"/>
              </w:rPr>
            </w:pPr>
            <w:r>
              <w:rPr>
                <w:b/>
                <w:bCs/>
                <w:color w:val="000000"/>
                <w:sz w:val="20"/>
                <w:szCs w:val="20"/>
              </w:rPr>
              <w:t>47,13%</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Popis programa:</w:t>
      </w:r>
    </w:p>
    <w:p>
      <w:pPr>
        <w:jc w:val="both"/>
        <w:rPr>
          <w:rFonts w:ascii="Times New Roman" w:hAnsi="Times New Roman" w:cs="Times New Roman"/>
          <w:b/>
          <w:sz w:val="24"/>
          <w:szCs w:val="24"/>
        </w:rPr>
      </w:pPr>
      <w:r>
        <w:rPr>
          <w:rFonts w:ascii="Times New Roman" w:hAnsi="Times New Roman" w:cs="Times New Roman"/>
          <w:b/>
          <w:sz w:val="24"/>
          <w:szCs w:val="24"/>
        </w:rPr>
        <w:t>PROGRAM 1006: Izvršna uprava i administracija JUO</w:t>
      </w:r>
    </w:p>
    <w:p>
      <w:pPr>
        <w:jc w:val="both"/>
        <w:rPr>
          <w:rFonts w:ascii="Times New Roman" w:hAnsi="Times New Roman" w:cs="Times New Roman"/>
          <w:b/>
          <w:sz w:val="24"/>
          <w:szCs w:val="24"/>
        </w:rPr>
      </w:pPr>
      <w:r>
        <w:rPr>
          <w:rFonts w:ascii="Times New Roman" w:hAnsi="Times New Roman" w:cs="Times New Roman"/>
          <w:b/>
          <w:sz w:val="24"/>
          <w:szCs w:val="24"/>
        </w:rPr>
        <w:t>PROGRAM 1007: Uredska oprema</w:t>
      </w:r>
    </w:p>
    <w:p>
      <w:pPr>
        <w:jc w:val="both"/>
        <w:rPr>
          <w:rFonts w:ascii="Times New Roman" w:hAnsi="Times New Roman" w:cs="Times New Roman"/>
          <w:b/>
          <w:sz w:val="24"/>
          <w:szCs w:val="24"/>
        </w:rPr>
      </w:pPr>
      <w:r>
        <w:rPr>
          <w:rFonts w:ascii="Times New Roman" w:hAnsi="Times New Roman" w:cs="Times New Roman"/>
          <w:b/>
          <w:sz w:val="24"/>
          <w:szCs w:val="24"/>
        </w:rPr>
        <w:t>PROGRAM 1008: Unaprjeđenje sustava – informatizacija uprave</w:t>
      </w: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Program 1006: Izvršna uprava i administracija JUO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1006</w:t>
            </w:r>
          </w:p>
        </w:tc>
        <w:tc>
          <w:tcPr>
            <w:tcW w:w="1835" w:type="dxa"/>
          </w:tcPr>
          <w:p>
            <w:pPr>
              <w:ind w:left="-108" w:right="-114"/>
              <w:jc w:val="center"/>
              <w:rPr>
                <w:b/>
                <w:bCs/>
                <w:color w:val="000000"/>
                <w:sz w:val="20"/>
                <w:szCs w:val="20"/>
              </w:rPr>
            </w:pPr>
            <w:r>
              <w:rPr>
                <w:b/>
                <w:bCs/>
                <w:color w:val="000000"/>
                <w:sz w:val="20"/>
                <w:szCs w:val="20"/>
              </w:rPr>
              <w:t>250.200,00</w:t>
            </w:r>
          </w:p>
        </w:tc>
        <w:tc>
          <w:tcPr>
            <w:tcW w:w="1693" w:type="dxa"/>
          </w:tcPr>
          <w:p>
            <w:pPr>
              <w:ind w:left="-108" w:right="-114"/>
              <w:jc w:val="center"/>
              <w:rPr>
                <w:b/>
                <w:bCs/>
                <w:color w:val="000000"/>
                <w:sz w:val="20"/>
                <w:szCs w:val="20"/>
              </w:rPr>
            </w:pPr>
            <w:r>
              <w:rPr>
                <w:b/>
                <w:bCs/>
                <w:color w:val="000000"/>
                <w:sz w:val="20"/>
                <w:szCs w:val="20"/>
              </w:rPr>
              <w:t>111.587,46</w:t>
            </w:r>
          </w:p>
        </w:tc>
        <w:tc>
          <w:tcPr>
            <w:tcW w:w="4697" w:type="dxa"/>
          </w:tcPr>
          <w:p>
            <w:pPr>
              <w:ind w:left="-108" w:right="-114"/>
              <w:jc w:val="center"/>
              <w:rPr>
                <w:b/>
                <w:bCs/>
                <w:color w:val="000000"/>
                <w:sz w:val="20"/>
                <w:szCs w:val="20"/>
              </w:rPr>
            </w:pPr>
            <w:r>
              <w:rPr>
                <w:b/>
                <w:bCs/>
                <w:color w:val="000000"/>
                <w:sz w:val="20"/>
                <w:szCs w:val="20"/>
              </w:rPr>
              <w:t>44,60%</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9"/>
        </w:numPr>
        <w:jc w:val="both"/>
        <w:rPr>
          <w:rFonts w:ascii="Times New Roman" w:hAnsi="Times New Roman" w:cs="Times New Roman"/>
          <w:b/>
          <w:sz w:val="24"/>
          <w:szCs w:val="24"/>
        </w:rPr>
      </w:pPr>
      <w:r>
        <w:rPr>
          <w:rFonts w:ascii="Times New Roman" w:hAnsi="Times New Roman" w:cs="Times New Roman"/>
          <w:b/>
          <w:sz w:val="24"/>
          <w:szCs w:val="24"/>
        </w:rPr>
        <w:t>Aktivnost A100002: Rashodi za zaposlene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147.300,00</w:t>
            </w:r>
          </w:p>
        </w:tc>
        <w:tc>
          <w:tcPr>
            <w:tcW w:w="1693" w:type="dxa"/>
          </w:tcPr>
          <w:p>
            <w:pPr>
              <w:ind w:left="-108" w:right="-114"/>
              <w:jc w:val="center"/>
              <w:rPr>
                <w:b/>
                <w:bCs/>
                <w:color w:val="000000"/>
                <w:sz w:val="20"/>
                <w:szCs w:val="20"/>
              </w:rPr>
            </w:pPr>
            <w:r>
              <w:rPr>
                <w:b/>
                <w:bCs/>
                <w:color w:val="000000"/>
                <w:sz w:val="20"/>
                <w:szCs w:val="20"/>
              </w:rPr>
              <w:t>63.307,73</w:t>
            </w:r>
          </w:p>
        </w:tc>
        <w:tc>
          <w:tcPr>
            <w:tcW w:w="4698" w:type="dxa"/>
          </w:tcPr>
          <w:p>
            <w:pPr>
              <w:ind w:left="-108" w:right="-114"/>
              <w:jc w:val="center"/>
              <w:rPr>
                <w:b/>
                <w:bCs/>
                <w:color w:val="000000"/>
                <w:sz w:val="20"/>
                <w:szCs w:val="20"/>
              </w:rPr>
            </w:pPr>
            <w:r>
              <w:rPr>
                <w:b/>
                <w:bCs/>
                <w:color w:val="000000"/>
                <w:sz w:val="20"/>
                <w:szCs w:val="20"/>
              </w:rPr>
              <w:t>42,98%</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A100002: Rashodi za zaposlene odnose se na izvršenje plaća za zaposlenike, za službena putovanja te za naknade za prijevoz, za rad na terenu i odvojeni život.</w:t>
      </w:r>
    </w:p>
    <w:p>
      <w:pPr>
        <w:pStyle w:val="Odlomakpopisa"/>
        <w:numPr>
          <w:ilvl w:val="0"/>
          <w:numId w:val="9"/>
        </w:numPr>
        <w:jc w:val="both"/>
        <w:rPr>
          <w:rFonts w:ascii="Times New Roman" w:hAnsi="Times New Roman" w:cs="Times New Roman"/>
          <w:b/>
          <w:sz w:val="24"/>
          <w:szCs w:val="24"/>
        </w:rPr>
      </w:pPr>
      <w:r>
        <w:rPr>
          <w:rFonts w:ascii="Times New Roman" w:hAnsi="Times New Roman" w:cs="Times New Roman"/>
          <w:b/>
          <w:sz w:val="24"/>
          <w:szCs w:val="24"/>
        </w:rPr>
        <w:t>Aktivnost A100003: Rashodi za materijal i energiju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A100003</w:t>
            </w:r>
          </w:p>
        </w:tc>
        <w:tc>
          <w:tcPr>
            <w:tcW w:w="1834" w:type="dxa"/>
          </w:tcPr>
          <w:p>
            <w:pPr>
              <w:ind w:left="-108" w:right="-114"/>
              <w:jc w:val="center"/>
              <w:rPr>
                <w:b/>
                <w:bCs/>
                <w:color w:val="000000"/>
                <w:sz w:val="20"/>
                <w:szCs w:val="20"/>
              </w:rPr>
            </w:pPr>
            <w:r>
              <w:rPr>
                <w:b/>
                <w:bCs/>
                <w:color w:val="000000"/>
                <w:sz w:val="20"/>
                <w:szCs w:val="20"/>
              </w:rPr>
              <w:t>16.000,00</w:t>
            </w:r>
          </w:p>
        </w:tc>
        <w:tc>
          <w:tcPr>
            <w:tcW w:w="1693" w:type="dxa"/>
          </w:tcPr>
          <w:p>
            <w:pPr>
              <w:ind w:left="-108" w:right="-114"/>
              <w:jc w:val="center"/>
              <w:rPr>
                <w:b/>
                <w:bCs/>
                <w:color w:val="000000"/>
                <w:sz w:val="20"/>
                <w:szCs w:val="20"/>
              </w:rPr>
            </w:pPr>
            <w:r>
              <w:rPr>
                <w:b/>
                <w:bCs/>
                <w:color w:val="000000"/>
                <w:sz w:val="20"/>
                <w:szCs w:val="20"/>
              </w:rPr>
              <w:t>6.311,32</w:t>
            </w:r>
          </w:p>
        </w:tc>
        <w:tc>
          <w:tcPr>
            <w:tcW w:w="4698" w:type="dxa"/>
          </w:tcPr>
          <w:p>
            <w:pPr>
              <w:ind w:left="-108" w:right="-114"/>
              <w:jc w:val="center"/>
              <w:rPr>
                <w:b/>
                <w:bCs/>
                <w:color w:val="000000"/>
                <w:sz w:val="20"/>
                <w:szCs w:val="20"/>
              </w:rPr>
            </w:pPr>
            <w:r>
              <w:rPr>
                <w:b/>
                <w:bCs/>
                <w:color w:val="000000"/>
                <w:sz w:val="20"/>
                <w:szCs w:val="20"/>
              </w:rPr>
              <w:t>39,45%</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A100003: Rashodi za materijal i energiju odnosi se na troškove električne energije za ured, materijale i dijelove tekućeg održavanja zgrade te rashodi za uredski materijal.</w:t>
      </w:r>
    </w:p>
    <w:p>
      <w:pPr>
        <w:pStyle w:val="Odlomakpopisa"/>
        <w:numPr>
          <w:ilvl w:val="0"/>
          <w:numId w:val="9"/>
        </w:numPr>
        <w:jc w:val="both"/>
        <w:rPr>
          <w:rFonts w:ascii="Times New Roman" w:hAnsi="Times New Roman" w:cs="Times New Roman"/>
          <w:b/>
          <w:sz w:val="24"/>
          <w:szCs w:val="24"/>
        </w:rPr>
      </w:pPr>
      <w:r>
        <w:rPr>
          <w:rFonts w:ascii="Times New Roman" w:hAnsi="Times New Roman" w:cs="Times New Roman"/>
          <w:b/>
          <w:sz w:val="24"/>
          <w:szCs w:val="24"/>
        </w:rPr>
        <w:t>Aktivnost A100004: Rashod za usluge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A100004</w:t>
            </w:r>
          </w:p>
        </w:tc>
        <w:tc>
          <w:tcPr>
            <w:tcW w:w="1834" w:type="dxa"/>
          </w:tcPr>
          <w:p>
            <w:pPr>
              <w:ind w:left="-108" w:right="-114"/>
              <w:jc w:val="center"/>
              <w:rPr>
                <w:b/>
                <w:bCs/>
                <w:color w:val="000000"/>
                <w:sz w:val="20"/>
                <w:szCs w:val="20"/>
              </w:rPr>
            </w:pPr>
            <w:r>
              <w:rPr>
                <w:b/>
                <w:bCs/>
                <w:color w:val="000000"/>
                <w:sz w:val="20"/>
                <w:szCs w:val="20"/>
              </w:rPr>
              <w:t>86.900,00</w:t>
            </w:r>
          </w:p>
        </w:tc>
        <w:tc>
          <w:tcPr>
            <w:tcW w:w="1693" w:type="dxa"/>
          </w:tcPr>
          <w:p>
            <w:pPr>
              <w:ind w:left="-108" w:right="-114"/>
              <w:jc w:val="center"/>
              <w:rPr>
                <w:b/>
                <w:bCs/>
                <w:color w:val="000000"/>
                <w:sz w:val="20"/>
                <w:szCs w:val="20"/>
              </w:rPr>
            </w:pPr>
            <w:r>
              <w:rPr>
                <w:b/>
                <w:bCs/>
                <w:color w:val="000000"/>
                <w:sz w:val="20"/>
                <w:szCs w:val="20"/>
              </w:rPr>
              <w:t>41.968,41</w:t>
            </w:r>
          </w:p>
        </w:tc>
        <w:tc>
          <w:tcPr>
            <w:tcW w:w="4698" w:type="dxa"/>
          </w:tcPr>
          <w:p>
            <w:pPr>
              <w:ind w:left="-108" w:right="-114"/>
              <w:jc w:val="center"/>
              <w:rPr>
                <w:b/>
                <w:bCs/>
                <w:color w:val="000000"/>
                <w:sz w:val="20"/>
                <w:szCs w:val="20"/>
              </w:rPr>
            </w:pPr>
            <w:r>
              <w:rPr>
                <w:b/>
                <w:bCs/>
                <w:color w:val="000000"/>
                <w:sz w:val="20"/>
                <w:szCs w:val="20"/>
              </w:rPr>
              <w:t>48,30%</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A100004: Rashod za usluge odnosi se na troškove zakupa uredskih prostora, troškove odvjetnika za slučaj HAKOM, troškove usluga javne nabave.</w:t>
      </w: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1007: Uredska oprema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1007</w:t>
            </w:r>
          </w:p>
        </w:tc>
        <w:tc>
          <w:tcPr>
            <w:tcW w:w="1835" w:type="dxa"/>
          </w:tcPr>
          <w:p>
            <w:pPr>
              <w:ind w:left="-108" w:right="-114"/>
              <w:jc w:val="center"/>
              <w:rPr>
                <w:b/>
                <w:bCs/>
                <w:color w:val="000000"/>
                <w:sz w:val="20"/>
                <w:szCs w:val="20"/>
              </w:rPr>
            </w:pPr>
            <w:r>
              <w:rPr>
                <w:b/>
                <w:bCs/>
                <w:color w:val="000000"/>
                <w:sz w:val="20"/>
                <w:szCs w:val="20"/>
              </w:rPr>
              <w:t>17.300,00</w:t>
            </w:r>
          </w:p>
        </w:tc>
        <w:tc>
          <w:tcPr>
            <w:tcW w:w="1693" w:type="dxa"/>
          </w:tcPr>
          <w:p>
            <w:pPr>
              <w:ind w:left="-108" w:right="-114"/>
              <w:jc w:val="center"/>
              <w:rPr>
                <w:b/>
                <w:bCs/>
                <w:color w:val="000000"/>
                <w:sz w:val="20"/>
                <w:szCs w:val="20"/>
              </w:rPr>
            </w:pPr>
            <w:r>
              <w:rPr>
                <w:b/>
                <w:bCs/>
                <w:color w:val="000000"/>
                <w:sz w:val="20"/>
                <w:szCs w:val="20"/>
              </w:rPr>
              <w:t>16.460,31</w:t>
            </w:r>
          </w:p>
        </w:tc>
        <w:tc>
          <w:tcPr>
            <w:tcW w:w="4697" w:type="dxa"/>
          </w:tcPr>
          <w:p>
            <w:pPr>
              <w:ind w:left="-108" w:right="-114"/>
              <w:jc w:val="center"/>
              <w:rPr>
                <w:b/>
                <w:bCs/>
                <w:color w:val="000000"/>
                <w:sz w:val="20"/>
                <w:szCs w:val="20"/>
              </w:rPr>
            </w:pPr>
            <w:r>
              <w:rPr>
                <w:b/>
                <w:bCs/>
                <w:color w:val="000000"/>
                <w:sz w:val="20"/>
                <w:szCs w:val="20"/>
              </w:rPr>
              <w:t>95,15%</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Program se sastoji od sljedeće aktivnosti</w:t>
      </w:r>
    </w:p>
    <w:p>
      <w:pPr>
        <w:pStyle w:val="Odlomakpopisa"/>
        <w:numPr>
          <w:ilvl w:val="0"/>
          <w:numId w:val="10"/>
        </w:numPr>
        <w:jc w:val="both"/>
        <w:rPr>
          <w:rFonts w:ascii="Times New Roman" w:hAnsi="Times New Roman" w:cs="Times New Roman"/>
          <w:b/>
          <w:sz w:val="24"/>
          <w:szCs w:val="24"/>
        </w:rPr>
      </w:pPr>
      <w:r>
        <w:rPr>
          <w:rFonts w:ascii="Times New Roman" w:hAnsi="Times New Roman" w:cs="Times New Roman"/>
          <w:b/>
          <w:sz w:val="24"/>
          <w:szCs w:val="24"/>
        </w:rPr>
        <w:t>Kapitalni projekti K100001: Uredska oprema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K100001</w:t>
            </w:r>
          </w:p>
        </w:tc>
        <w:tc>
          <w:tcPr>
            <w:tcW w:w="1834" w:type="dxa"/>
          </w:tcPr>
          <w:p>
            <w:pPr>
              <w:ind w:left="-108" w:right="-114"/>
              <w:jc w:val="center"/>
              <w:rPr>
                <w:b/>
                <w:bCs/>
                <w:color w:val="000000"/>
                <w:sz w:val="20"/>
                <w:szCs w:val="20"/>
              </w:rPr>
            </w:pPr>
            <w:r>
              <w:rPr>
                <w:b/>
                <w:bCs/>
                <w:color w:val="000000"/>
                <w:sz w:val="20"/>
                <w:szCs w:val="20"/>
              </w:rPr>
              <w:t>17.300,00</w:t>
            </w:r>
          </w:p>
        </w:tc>
        <w:tc>
          <w:tcPr>
            <w:tcW w:w="1693" w:type="dxa"/>
          </w:tcPr>
          <w:p>
            <w:pPr>
              <w:ind w:left="-108" w:right="-114"/>
              <w:jc w:val="center"/>
              <w:rPr>
                <w:b/>
                <w:bCs/>
                <w:color w:val="000000"/>
                <w:sz w:val="20"/>
                <w:szCs w:val="20"/>
              </w:rPr>
            </w:pPr>
            <w:r>
              <w:rPr>
                <w:b/>
                <w:bCs/>
                <w:color w:val="000000"/>
                <w:sz w:val="20"/>
                <w:szCs w:val="20"/>
              </w:rPr>
              <w:t>16.460,31</w:t>
            </w:r>
          </w:p>
        </w:tc>
        <w:tc>
          <w:tcPr>
            <w:tcW w:w="4698" w:type="dxa"/>
          </w:tcPr>
          <w:p>
            <w:pPr>
              <w:ind w:left="-108" w:right="-114"/>
              <w:jc w:val="center"/>
              <w:rPr>
                <w:b/>
                <w:bCs/>
                <w:color w:val="000000"/>
                <w:sz w:val="20"/>
                <w:szCs w:val="20"/>
              </w:rPr>
            </w:pPr>
            <w:r>
              <w:rPr>
                <w:b/>
                <w:bCs/>
                <w:color w:val="000000"/>
                <w:sz w:val="20"/>
                <w:szCs w:val="20"/>
              </w:rPr>
              <w:t>95,15%</w:t>
            </w:r>
          </w:p>
        </w:tc>
      </w:tr>
    </w:tbl>
    <w:p>
      <w:pPr>
        <w:jc w:val="both"/>
        <w:rPr>
          <w:rFonts w:ascii="Times New Roman" w:hAnsi="Times New Roman" w:cs="Times New Roman"/>
          <w:sz w:val="24"/>
          <w:szCs w:val="24"/>
        </w:rPr>
      </w:pPr>
      <w:r>
        <w:rPr>
          <w:rFonts w:ascii="Times New Roman" w:hAnsi="Times New Roman" w:cs="Times New Roman"/>
          <w:sz w:val="24"/>
          <w:szCs w:val="24"/>
        </w:rPr>
        <w:t>Kroz aktivnost K100001: Uredska oprema odnosi se na oprema nove zgrade s uredskom opremom.</w:t>
      </w:r>
    </w:p>
    <w:p>
      <w:pPr>
        <w:jc w:val="both"/>
        <w:rPr>
          <w:rFonts w:ascii="Times New Roman" w:hAnsi="Times New Roman" w:cs="Times New Roman"/>
          <w:b/>
          <w:sz w:val="24"/>
          <w:szCs w:val="24"/>
        </w:rPr>
      </w:pPr>
      <w:r>
        <w:rPr>
          <w:rFonts w:ascii="Times New Roman" w:hAnsi="Times New Roman" w:cs="Times New Roman"/>
          <w:b/>
          <w:sz w:val="24"/>
          <w:szCs w:val="24"/>
        </w:rPr>
        <w:t>Program 1008:</w:t>
      </w:r>
      <w:r>
        <w:rPr>
          <w:rFonts w:ascii="Times New Roman" w:hAnsi="Times New Roman" w:cs="Times New Roman"/>
          <w:sz w:val="24"/>
          <w:szCs w:val="24"/>
        </w:rPr>
        <w:t xml:space="preserve"> </w:t>
      </w:r>
      <w:r>
        <w:rPr>
          <w:rFonts w:ascii="Times New Roman" w:hAnsi="Times New Roman" w:cs="Times New Roman"/>
          <w:b/>
          <w:sz w:val="24"/>
          <w:szCs w:val="24"/>
        </w:rPr>
        <w:t>Unaprjeđenje sustava – informatizacija uprave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1008</w:t>
            </w:r>
          </w:p>
        </w:tc>
        <w:tc>
          <w:tcPr>
            <w:tcW w:w="1835" w:type="dxa"/>
          </w:tcPr>
          <w:p>
            <w:pPr>
              <w:ind w:left="-108" w:right="-114"/>
              <w:jc w:val="center"/>
              <w:rPr>
                <w:b/>
                <w:bCs/>
                <w:color w:val="000000"/>
                <w:sz w:val="20"/>
                <w:szCs w:val="20"/>
              </w:rPr>
            </w:pPr>
            <w:r>
              <w:rPr>
                <w:b/>
                <w:bCs/>
                <w:color w:val="000000"/>
                <w:sz w:val="20"/>
                <w:szCs w:val="20"/>
              </w:rPr>
              <w:t>11.400,00</w:t>
            </w:r>
          </w:p>
        </w:tc>
        <w:tc>
          <w:tcPr>
            <w:tcW w:w="1693" w:type="dxa"/>
          </w:tcPr>
          <w:p>
            <w:pPr>
              <w:ind w:left="-108" w:right="-114"/>
              <w:jc w:val="center"/>
              <w:rPr>
                <w:b/>
                <w:bCs/>
                <w:color w:val="000000"/>
                <w:sz w:val="20"/>
                <w:szCs w:val="20"/>
              </w:rPr>
            </w:pPr>
            <w:r>
              <w:rPr>
                <w:b/>
                <w:bCs/>
                <w:color w:val="000000"/>
                <w:sz w:val="20"/>
                <w:szCs w:val="20"/>
              </w:rPr>
              <w:t>3.409,38</w:t>
            </w:r>
          </w:p>
        </w:tc>
        <w:tc>
          <w:tcPr>
            <w:tcW w:w="4697" w:type="dxa"/>
          </w:tcPr>
          <w:p>
            <w:pPr>
              <w:ind w:left="-108" w:right="-114"/>
              <w:jc w:val="center"/>
              <w:rPr>
                <w:b/>
                <w:bCs/>
                <w:color w:val="000000"/>
                <w:sz w:val="20"/>
                <w:szCs w:val="20"/>
              </w:rPr>
            </w:pPr>
            <w:r>
              <w:rPr>
                <w:b/>
                <w:bCs/>
                <w:color w:val="000000"/>
                <w:sz w:val="20"/>
                <w:szCs w:val="20"/>
              </w:rPr>
              <w:t>29,91%</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11"/>
        </w:numPr>
        <w:jc w:val="both"/>
        <w:rPr>
          <w:rFonts w:ascii="Times New Roman" w:hAnsi="Times New Roman" w:cs="Times New Roman"/>
          <w:b/>
          <w:sz w:val="24"/>
          <w:szCs w:val="24"/>
        </w:rPr>
      </w:pPr>
      <w:r>
        <w:rPr>
          <w:rFonts w:ascii="Times New Roman" w:hAnsi="Times New Roman" w:cs="Times New Roman"/>
          <w:b/>
          <w:sz w:val="24"/>
          <w:szCs w:val="24"/>
        </w:rPr>
        <w:t>Kapitalni projekti K100001: Ulaganje u računalne programe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K100001</w:t>
            </w:r>
          </w:p>
        </w:tc>
        <w:tc>
          <w:tcPr>
            <w:tcW w:w="1834" w:type="dxa"/>
          </w:tcPr>
          <w:p>
            <w:pPr>
              <w:ind w:left="-108" w:right="-114"/>
              <w:jc w:val="center"/>
              <w:rPr>
                <w:b/>
                <w:bCs/>
                <w:color w:val="000000"/>
                <w:sz w:val="20"/>
                <w:szCs w:val="20"/>
              </w:rPr>
            </w:pPr>
            <w:r>
              <w:rPr>
                <w:b/>
                <w:bCs/>
                <w:color w:val="000000"/>
                <w:sz w:val="20"/>
                <w:szCs w:val="20"/>
              </w:rPr>
              <w:t>11.400,00</w:t>
            </w:r>
          </w:p>
        </w:tc>
        <w:tc>
          <w:tcPr>
            <w:tcW w:w="1693" w:type="dxa"/>
          </w:tcPr>
          <w:p>
            <w:pPr>
              <w:ind w:left="-108" w:right="-114"/>
              <w:jc w:val="center"/>
              <w:rPr>
                <w:b/>
                <w:bCs/>
                <w:color w:val="000000"/>
                <w:sz w:val="20"/>
                <w:szCs w:val="20"/>
              </w:rPr>
            </w:pPr>
            <w:r>
              <w:rPr>
                <w:b/>
                <w:bCs/>
                <w:color w:val="000000"/>
                <w:sz w:val="20"/>
                <w:szCs w:val="20"/>
              </w:rPr>
              <w:t>3.409,38</w:t>
            </w:r>
          </w:p>
        </w:tc>
        <w:tc>
          <w:tcPr>
            <w:tcW w:w="4698" w:type="dxa"/>
          </w:tcPr>
          <w:p>
            <w:pPr>
              <w:ind w:left="-108" w:right="-114"/>
              <w:jc w:val="center"/>
              <w:rPr>
                <w:b/>
                <w:bCs/>
                <w:color w:val="000000"/>
                <w:sz w:val="20"/>
                <w:szCs w:val="20"/>
              </w:rPr>
            </w:pPr>
            <w:r>
              <w:rPr>
                <w:b/>
                <w:bCs/>
                <w:color w:val="000000"/>
                <w:sz w:val="20"/>
                <w:szCs w:val="20"/>
              </w:rPr>
              <w:t>29,91%</w:t>
            </w:r>
          </w:p>
        </w:tc>
      </w:tr>
    </w:tbl>
    <w:p>
      <w:pPr>
        <w:jc w:val="both"/>
        <w:rPr>
          <w:rFonts w:ascii="Times New Roman" w:hAnsi="Times New Roman" w:cs="Times New Roman"/>
          <w:sz w:val="24"/>
          <w:szCs w:val="24"/>
        </w:rPr>
      </w:pPr>
      <w:r>
        <w:rPr>
          <w:rFonts w:ascii="Times New Roman" w:hAnsi="Times New Roman" w:cs="Times New Roman"/>
          <w:sz w:val="24"/>
          <w:szCs w:val="24"/>
        </w:rPr>
        <w:t>Kroz aktivnost K100001: Ulaganje u računalne programe odnosi se na kupnja modula za Uredsko poslovanje.</w:t>
      </w: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RAZDJEL 002: URED NAČELNIKA</w:t>
      </w:r>
    </w:p>
    <w:p>
      <w:pPr>
        <w:jc w:val="both"/>
        <w:rPr>
          <w:rFonts w:ascii="Times New Roman" w:hAnsi="Times New Roman" w:cs="Times New Roman"/>
          <w:b/>
          <w:sz w:val="24"/>
          <w:szCs w:val="24"/>
        </w:rPr>
      </w:pPr>
      <w:r>
        <w:rPr>
          <w:rFonts w:ascii="Times New Roman" w:hAnsi="Times New Roman" w:cs="Times New Roman"/>
          <w:b/>
          <w:sz w:val="24"/>
          <w:szCs w:val="24"/>
        </w:rPr>
        <w:t xml:space="preserve">UKUPNI RASHODI URED NAČELNIKA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1827"/>
        <w:gridCol w:w="1686"/>
        <w:gridCol w:w="4724"/>
      </w:tblGrid>
      <w:tr>
        <w:tc>
          <w:tcPr>
            <w:tcW w:w="1227" w:type="dxa"/>
          </w:tcPr>
          <w:p>
            <w:pPr>
              <w:ind w:left="-142" w:right="-129"/>
              <w:jc w:val="center"/>
              <w:rPr>
                <w:b/>
                <w:bCs/>
                <w:color w:val="000000"/>
                <w:sz w:val="20"/>
                <w:szCs w:val="20"/>
              </w:rPr>
            </w:pPr>
            <w:r>
              <w:rPr>
                <w:b/>
                <w:bCs/>
                <w:color w:val="000000"/>
                <w:sz w:val="20"/>
                <w:szCs w:val="20"/>
              </w:rPr>
              <w:t>Razdjel</w:t>
            </w:r>
          </w:p>
        </w:tc>
        <w:tc>
          <w:tcPr>
            <w:tcW w:w="1827" w:type="dxa"/>
          </w:tcPr>
          <w:p>
            <w:pPr>
              <w:ind w:left="-108" w:right="-129"/>
              <w:jc w:val="center"/>
              <w:rPr>
                <w:b/>
                <w:bCs/>
                <w:color w:val="000000"/>
                <w:sz w:val="20"/>
                <w:szCs w:val="20"/>
              </w:rPr>
            </w:pPr>
            <w:r>
              <w:rPr>
                <w:b/>
                <w:bCs/>
                <w:color w:val="000000"/>
                <w:sz w:val="20"/>
                <w:szCs w:val="20"/>
              </w:rPr>
              <w:t>Izvorni plan 2023.</w:t>
            </w:r>
          </w:p>
        </w:tc>
        <w:tc>
          <w:tcPr>
            <w:tcW w:w="1686" w:type="dxa"/>
          </w:tcPr>
          <w:p>
            <w:pPr>
              <w:ind w:left="-108" w:right="-129"/>
              <w:jc w:val="center"/>
              <w:rPr>
                <w:b/>
                <w:bCs/>
                <w:color w:val="000000"/>
                <w:sz w:val="20"/>
                <w:szCs w:val="20"/>
              </w:rPr>
            </w:pPr>
            <w:r>
              <w:rPr>
                <w:b/>
                <w:bCs/>
                <w:color w:val="000000"/>
                <w:sz w:val="20"/>
                <w:szCs w:val="20"/>
              </w:rPr>
              <w:t xml:space="preserve">Izvršenje </w:t>
            </w:r>
          </w:p>
          <w:p>
            <w:pPr>
              <w:ind w:left="-108" w:right="-129"/>
              <w:jc w:val="center"/>
              <w:rPr>
                <w:b/>
                <w:bCs/>
                <w:color w:val="000000"/>
                <w:sz w:val="20"/>
                <w:szCs w:val="20"/>
              </w:rPr>
            </w:pPr>
            <w:r>
              <w:rPr>
                <w:b/>
                <w:bCs/>
                <w:color w:val="000000"/>
                <w:sz w:val="20"/>
                <w:szCs w:val="20"/>
              </w:rPr>
              <w:t>30.6.2023.</w:t>
            </w:r>
          </w:p>
        </w:tc>
        <w:tc>
          <w:tcPr>
            <w:tcW w:w="4724" w:type="dxa"/>
          </w:tcPr>
          <w:p>
            <w:pPr>
              <w:ind w:left="-108" w:right="-129"/>
              <w:jc w:val="center"/>
              <w:rPr>
                <w:b/>
                <w:bCs/>
                <w:color w:val="000000"/>
                <w:sz w:val="20"/>
                <w:szCs w:val="20"/>
              </w:rPr>
            </w:pPr>
            <w:r>
              <w:rPr>
                <w:b/>
                <w:bCs/>
                <w:color w:val="000000"/>
                <w:sz w:val="20"/>
                <w:szCs w:val="20"/>
              </w:rPr>
              <w:t xml:space="preserve">Indeks </w:t>
            </w:r>
          </w:p>
          <w:p>
            <w:pPr>
              <w:ind w:left="-108" w:right="-129"/>
              <w:jc w:val="center"/>
              <w:rPr>
                <w:b/>
                <w:bCs/>
                <w:color w:val="000000"/>
                <w:sz w:val="20"/>
                <w:szCs w:val="20"/>
              </w:rPr>
            </w:pPr>
            <w:r>
              <w:rPr>
                <w:b/>
                <w:bCs/>
                <w:color w:val="000000"/>
                <w:sz w:val="20"/>
                <w:szCs w:val="20"/>
              </w:rPr>
              <w:t>Izvršenje 30.6.2023./ Izvorni plan 2023.</w:t>
            </w:r>
          </w:p>
        </w:tc>
      </w:tr>
      <w:tr>
        <w:tc>
          <w:tcPr>
            <w:tcW w:w="1227" w:type="dxa"/>
          </w:tcPr>
          <w:p>
            <w:pPr>
              <w:ind w:left="-142" w:right="-129"/>
              <w:jc w:val="center"/>
              <w:rPr>
                <w:b/>
                <w:bCs/>
                <w:color w:val="000000"/>
                <w:sz w:val="20"/>
                <w:szCs w:val="20"/>
              </w:rPr>
            </w:pPr>
            <w:r>
              <w:rPr>
                <w:b/>
                <w:bCs/>
                <w:color w:val="000000"/>
                <w:sz w:val="20"/>
                <w:szCs w:val="20"/>
              </w:rPr>
              <w:t>002</w:t>
            </w:r>
          </w:p>
        </w:tc>
        <w:tc>
          <w:tcPr>
            <w:tcW w:w="1827" w:type="dxa"/>
          </w:tcPr>
          <w:p>
            <w:pPr>
              <w:ind w:left="-108" w:right="-129"/>
              <w:jc w:val="center"/>
              <w:rPr>
                <w:b/>
                <w:bCs/>
                <w:color w:val="000000"/>
                <w:sz w:val="20"/>
                <w:szCs w:val="20"/>
              </w:rPr>
            </w:pPr>
            <w:r>
              <w:rPr>
                <w:b/>
                <w:bCs/>
                <w:color w:val="000000"/>
                <w:sz w:val="20"/>
                <w:szCs w:val="20"/>
              </w:rPr>
              <w:t>9.400,00</w:t>
            </w:r>
          </w:p>
        </w:tc>
        <w:tc>
          <w:tcPr>
            <w:tcW w:w="1686" w:type="dxa"/>
            <w:vAlign w:val="center"/>
          </w:tcPr>
          <w:p>
            <w:pPr>
              <w:ind w:left="-108" w:right="-129"/>
              <w:jc w:val="center"/>
              <w:rPr>
                <w:b/>
                <w:bCs/>
                <w:color w:val="000000"/>
                <w:sz w:val="20"/>
                <w:szCs w:val="20"/>
              </w:rPr>
            </w:pPr>
            <w:r>
              <w:rPr>
                <w:b/>
                <w:bCs/>
                <w:color w:val="000000"/>
                <w:sz w:val="20"/>
                <w:szCs w:val="20"/>
              </w:rPr>
              <w:t>2.238,20</w:t>
            </w:r>
          </w:p>
        </w:tc>
        <w:tc>
          <w:tcPr>
            <w:tcW w:w="4724" w:type="dxa"/>
            <w:shd w:val="clear" w:color="auto" w:fill="auto"/>
            <w:vAlign w:val="center"/>
          </w:tcPr>
          <w:p>
            <w:pPr>
              <w:ind w:left="-108" w:right="-129"/>
              <w:jc w:val="center"/>
              <w:rPr>
                <w:b/>
                <w:bCs/>
                <w:color w:val="000000"/>
                <w:sz w:val="20"/>
                <w:szCs w:val="20"/>
              </w:rPr>
            </w:pPr>
            <w:r>
              <w:rPr>
                <w:b/>
                <w:bCs/>
                <w:color w:val="000000"/>
                <w:sz w:val="20"/>
                <w:szCs w:val="20"/>
              </w:rPr>
              <w:t>23,81%</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GLAVA 00201: URED NAČELNIKA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1836"/>
        <w:gridCol w:w="1694"/>
        <w:gridCol w:w="4700"/>
      </w:tblGrid>
      <w:tr>
        <w:tc>
          <w:tcPr>
            <w:tcW w:w="1234" w:type="dxa"/>
          </w:tcPr>
          <w:p>
            <w:pPr>
              <w:ind w:left="-142" w:right="-114"/>
              <w:jc w:val="center"/>
              <w:rPr>
                <w:b/>
                <w:bCs/>
                <w:color w:val="000000"/>
                <w:sz w:val="20"/>
                <w:szCs w:val="20"/>
              </w:rPr>
            </w:pPr>
            <w:r>
              <w:rPr>
                <w:b/>
                <w:bCs/>
                <w:color w:val="000000"/>
                <w:sz w:val="20"/>
                <w:szCs w:val="20"/>
              </w:rPr>
              <w:t>Glava</w:t>
            </w:r>
          </w:p>
        </w:tc>
        <w:tc>
          <w:tcPr>
            <w:tcW w:w="1836" w:type="dxa"/>
          </w:tcPr>
          <w:p>
            <w:pPr>
              <w:ind w:left="-108" w:right="-114"/>
              <w:jc w:val="center"/>
              <w:rPr>
                <w:b/>
                <w:bCs/>
                <w:color w:val="000000"/>
                <w:sz w:val="20"/>
                <w:szCs w:val="20"/>
              </w:rPr>
            </w:pPr>
            <w:r>
              <w:rPr>
                <w:b/>
                <w:bCs/>
                <w:color w:val="000000"/>
                <w:sz w:val="20"/>
                <w:szCs w:val="20"/>
              </w:rPr>
              <w:t>Izvorni plan 2023.</w:t>
            </w:r>
          </w:p>
        </w:tc>
        <w:tc>
          <w:tcPr>
            <w:tcW w:w="1694"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700"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4" w:type="dxa"/>
          </w:tcPr>
          <w:p>
            <w:pPr>
              <w:ind w:left="-142" w:right="-114"/>
              <w:jc w:val="center"/>
              <w:rPr>
                <w:b/>
                <w:bCs/>
                <w:color w:val="000000"/>
                <w:sz w:val="20"/>
                <w:szCs w:val="20"/>
              </w:rPr>
            </w:pPr>
            <w:r>
              <w:rPr>
                <w:b/>
                <w:bCs/>
                <w:color w:val="000000"/>
                <w:sz w:val="20"/>
                <w:szCs w:val="20"/>
              </w:rPr>
              <w:t>00201</w:t>
            </w:r>
          </w:p>
        </w:tc>
        <w:tc>
          <w:tcPr>
            <w:tcW w:w="1836" w:type="dxa"/>
          </w:tcPr>
          <w:p>
            <w:pPr>
              <w:ind w:left="-108" w:right="-114"/>
              <w:jc w:val="center"/>
              <w:rPr>
                <w:b/>
                <w:bCs/>
                <w:color w:val="000000"/>
                <w:sz w:val="20"/>
                <w:szCs w:val="20"/>
              </w:rPr>
            </w:pPr>
            <w:r>
              <w:rPr>
                <w:b/>
                <w:bCs/>
                <w:color w:val="000000"/>
                <w:sz w:val="20"/>
                <w:szCs w:val="20"/>
              </w:rPr>
              <w:t>9.400,00</w:t>
            </w:r>
          </w:p>
        </w:tc>
        <w:tc>
          <w:tcPr>
            <w:tcW w:w="1694" w:type="dxa"/>
            <w:vAlign w:val="center"/>
          </w:tcPr>
          <w:p>
            <w:pPr>
              <w:ind w:left="-108" w:right="-114"/>
              <w:jc w:val="center"/>
              <w:rPr>
                <w:b/>
                <w:bCs/>
                <w:color w:val="000000"/>
                <w:sz w:val="20"/>
                <w:szCs w:val="20"/>
              </w:rPr>
            </w:pPr>
            <w:r>
              <w:rPr>
                <w:b/>
                <w:bCs/>
                <w:color w:val="000000"/>
                <w:sz w:val="20"/>
                <w:szCs w:val="20"/>
              </w:rPr>
              <w:t>2.238,20</w:t>
            </w:r>
          </w:p>
        </w:tc>
        <w:tc>
          <w:tcPr>
            <w:tcW w:w="4700" w:type="dxa"/>
            <w:vAlign w:val="center"/>
          </w:tcPr>
          <w:p>
            <w:pPr>
              <w:ind w:left="-108" w:right="-114"/>
              <w:jc w:val="center"/>
              <w:rPr>
                <w:b/>
                <w:bCs/>
                <w:color w:val="000000"/>
                <w:sz w:val="20"/>
                <w:szCs w:val="20"/>
              </w:rPr>
            </w:pPr>
            <w:r>
              <w:rPr>
                <w:b/>
                <w:bCs/>
                <w:color w:val="000000"/>
                <w:sz w:val="20"/>
                <w:szCs w:val="20"/>
              </w:rPr>
              <w:t>23,81%</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Popis programa:</w:t>
      </w:r>
    </w:p>
    <w:p>
      <w:pPr>
        <w:jc w:val="both"/>
        <w:rPr>
          <w:rFonts w:ascii="Times New Roman" w:hAnsi="Times New Roman" w:cs="Times New Roman"/>
          <w:b/>
          <w:sz w:val="24"/>
          <w:szCs w:val="24"/>
        </w:rPr>
      </w:pPr>
      <w:r>
        <w:rPr>
          <w:rFonts w:ascii="Times New Roman" w:hAnsi="Times New Roman" w:cs="Times New Roman"/>
          <w:b/>
          <w:sz w:val="24"/>
          <w:szCs w:val="24"/>
        </w:rPr>
        <w:t>PROGRAM 1004: Izvršna uprava – Ured načelnika</w:t>
      </w:r>
    </w:p>
    <w:p>
      <w:pPr>
        <w:jc w:val="both"/>
        <w:rPr>
          <w:rFonts w:ascii="Times New Roman" w:hAnsi="Times New Roman" w:cs="Times New Roman"/>
          <w:b/>
          <w:sz w:val="24"/>
          <w:szCs w:val="24"/>
        </w:rPr>
      </w:pPr>
      <w:r>
        <w:rPr>
          <w:rFonts w:ascii="Times New Roman" w:hAnsi="Times New Roman" w:cs="Times New Roman"/>
          <w:b/>
          <w:sz w:val="24"/>
          <w:szCs w:val="24"/>
        </w:rPr>
        <w:t>PROGRAM 1005: Izdvajanje u tekuću pričuvu</w:t>
      </w: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1004: Izvršna uprava- Ured Načelnika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1004</w:t>
            </w:r>
          </w:p>
        </w:tc>
        <w:tc>
          <w:tcPr>
            <w:tcW w:w="1835" w:type="dxa"/>
          </w:tcPr>
          <w:p>
            <w:pPr>
              <w:ind w:left="-108" w:right="-114"/>
              <w:jc w:val="center"/>
              <w:rPr>
                <w:b/>
                <w:bCs/>
                <w:color w:val="000000"/>
                <w:sz w:val="20"/>
                <w:szCs w:val="20"/>
              </w:rPr>
            </w:pPr>
            <w:r>
              <w:rPr>
                <w:b/>
                <w:bCs/>
                <w:color w:val="000000"/>
                <w:sz w:val="20"/>
                <w:szCs w:val="20"/>
              </w:rPr>
              <w:t>6.700,00</w:t>
            </w:r>
          </w:p>
        </w:tc>
        <w:tc>
          <w:tcPr>
            <w:tcW w:w="1693" w:type="dxa"/>
          </w:tcPr>
          <w:p>
            <w:pPr>
              <w:ind w:left="-108" w:right="-114"/>
              <w:jc w:val="center"/>
              <w:rPr>
                <w:b/>
                <w:bCs/>
                <w:color w:val="000000"/>
                <w:sz w:val="20"/>
                <w:szCs w:val="20"/>
              </w:rPr>
            </w:pPr>
            <w:r>
              <w:rPr>
                <w:b/>
                <w:bCs/>
                <w:color w:val="000000"/>
                <w:sz w:val="20"/>
                <w:szCs w:val="20"/>
              </w:rPr>
              <w:t>1.661,06</w:t>
            </w:r>
          </w:p>
        </w:tc>
        <w:tc>
          <w:tcPr>
            <w:tcW w:w="4697" w:type="dxa"/>
          </w:tcPr>
          <w:p>
            <w:pPr>
              <w:ind w:left="-108" w:right="-114"/>
              <w:jc w:val="center"/>
              <w:rPr>
                <w:b/>
                <w:bCs/>
                <w:color w:val="000000"/>
                <w:sz w:val="20"/>
                <w:szCs w:val="20"/>
              </w:rPr>
            </w:pPr>
            <w:r>
              <w:rPr>
                <w:b/>
                <w:bCs/>
                <w:color w:val="000000"/>
                <w:sz w:val="20"/>
                <w:szCs w:val="20"/>
              </w:rPr>
              <w:t>24,79%</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12"/>
        </w:numPr>
        <w:jc w:val="both"/>
        <w:rPr>
          <w:rFonts w:ascii="Times New Roman" w:hAnsi="Times New Roman" w:cs="Times New Roman"/>
          <w:b/>
          <w:sz w:val="24"/>
          <w:szCs w:val="24"/>
        </w:rPr>
      </w:pPr>
      <w:r>
        <w:rPr>
          <w:rFonts w:ascii="Times New Roman" w:hAnsi="Times New Roman" w:cs="Times New Roman"/>
          <w:b/>
          <w:sz w:val="24"/>
          <w:szCs w:val="24"/>
        </w:rPr>
        <w:t>Aktivnost A100001: Usluge promidžbe i informiranja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258,80</w:t>
            </w:r>
          </w:p>
        </w:tc>
        <w:tc>
          <w:tcPr>
            <w:tcW w:w="4698" w:type="dxa"/>
          </w:tcPr>
          <w:p>
            <w:pPr>
              <w:ind w:left="-108" w:right="-114"/>
              <w:jc w:val="center"/>
              <w:rPr>
                <w:b/>
                <w:bCs/>
                <w:color w:val="000000"/>
                <w:sz w:val="20"/>
                <w:szCs w:val="20"/>
              </w:rPr>
            </w:pPr>
            <w:r>
              <w:rPr>
                <w:b/>
                <w:bCs/>
                <w:color w:val="000000"/>
                <w:sz w:val="20"/>
                <w:szCs w:val="20"/>
              </w:rPr>
              <w:t>9,59%</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Usluge promidžbe i informiranja odnosi se na usluge tiska i medija.</w:t>
      </w:r>
    </w:p>
    <w:p>
      <w:pPr>
        <w:pStyle w:val="Odlomakpopisa"/>
        <w:numPr>
          <w:ilvl w:val="0"/>
          <w:numId w:val="12"/>
        </w:numPr>
        <w:jc w:val="both"/>
        <w:rPr>
          <w:rFonts w:ascii="Times New Roman" w:hAnsi="Times New Roman" w:cs="Times New Roman"/>
          <w:b/>
          <w:sz w:val="24"/>
          <w:szCs w:val="24"/>
        </w:rPr>
      </w:pPr>
      <w:r>
        <w:rPr>
          <w:rFonts w:ascii="Times New Roman" w:hAnsi="Times New Roman" w:cs="Times New Roman"/>
          <w:b/>
          <w:sz w:val="24"/>
          <w:szCs w:val="24"/>
        </w:rPr>
        <w:t>Aktivnost A100002: Reprezentacija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4.000,00</w:t>
            </w:r>
          </w:p>
        </w:tc>
        <w:tc>
          <w:tcPr>
            <w:tcW w:w="1693" w:type="dxa"/>
          </w:tcPr>
          <w:p>
            <w:pPr>
              <w:ind w:left="-108" w:right="-114"/>
              <w:jc w:val="center"/>
              <w:rPr>
                <w:b/>
                <w:bCs/>
                <w:color w:val="000000"/>
                <w:sz w:val="20"/>
                <w:szCs w:val="20"/>
              </w:rPr>
            </w:pPr>
            <w:r>
              <w:rPr>
                <w:b/>
                <w:bCs/>
                <w:color w:val="000000"/>
                <w:sz w:val="20"/>
                <w:szCs w:val="20"/>
              </w:rPr>
              <w:t>1.402,26</w:t>
            </w:r>
          </w:p>
        </w:tc>
        <w:tc>
          <w:tcPr>
            <w:tcW w:w="4698" w:type="dxa"/>
          </w:tcPr>
          <w:p>
            <w:pPr>
              <w:ind w:left="-108" w:right="-114"/>
              <w:jc w:val="center"/>
              <w:rPr>
                <w:b/>
                <w:bCs/>
                <w:color w:val="000000"/>
                <w:sz w:val="20"/>
                <w:szCs w:val="20"/>
              </w:rPr>
            </w:pPr>
            <w:r>
              <w:rPr>
                <w:b/>
                <w:bCs/>
                <w:color w:val="000000"/>
                <w:sz w:val="20"/>
                <w:szCs w:val="20"/>
              </w:rPr>
              <w:t>35,06%</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A100002: Reprezentacija odnosi se na usluge ugošćavanja.</w:t>
      </w: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1005: Izdvajanje u tekuću pričuvu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1005</w:t>
            </w:r>
          </w:p>
        </w:tc>
        <w:tc>
          <w:tcPr>
            <w:tcW w:w="1835"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577,14</w:t>
            </w:r>
          </w:p>
        </w:tc>
        <w:tc>
          <w:tcPr>
            <w:tcW w:w="4697" w:type="dxa"/>
          </w:tcPr>
          <w:p>
            <w:pPr>
              <w:ind w:left="-108" w:right="-114"/>
              <w:jc w:val="center"/>
              <w:rPr>
                <w:b/>
                <w:bCs/>
                <w:color w:val="000000"/>
                <w:sz w:val="20"/>
                <w:szCs w:val="20"/>
              </w:rPr>
            </w:pPr>
            <w:r>
              <w:rPr>
                <w:b/>
                <w:bCs/>
                <w:color w:val="000000"/>
                <w:sz w:val="20"/>
                <w:szCs w:val="20"/>
              </w:rPr>
              <w:t>21,38%</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13"/>
        </w:numPr>
        <w:jc w:val="both"/>
        <w:rPr>
          <w:rFonts w:ascii="Times New Roman" w:hAnsi="Times New Roman" w:cs="Times New Roman"/>
          <w:b/>
          <w:sz w:val="24"/>
          <w:szCs w:val="24"/>
        </w:rPr>
      </w:pPr>
      <w:r>
        <w:rPr>
          <w:rFonts w:ascii="Times New Roman" w:hAnsi="Times New Roman" w:cs="Times New Roman"/>
          <w:b/>
          <w:sz w:val="24"/>
          <w:szCs w:val="24"/>
        </w:rPr>
        <w:t>Aktivnost A100001: Izdvajanje u tekuću pričuvu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577,14</w:t>
            </w:r>
          </w:p>
        </w:tc>
        <w:tc>
          <w:tcPr>
            <w:tcW w:w="4698" w:type="dxa"/>
          </w:tcPr>
          <w:p>
            <w:pPr>
              <w:ind w:left="-108" w:right="-114"/>
              <w:jc w:val="center"/>
              <w:rPr>
                <w:b/>
                <w:bCs/>
                <w:color w:val="000000"/>
                <w:sz w:val="20"/>
                <w:szCs w:val="20"/>
              </w:rPr>
            </w:pPr>
            <w:r>
              <w:rPr>
                <w:b/>
                <w:bCs/>
                <w:color w:val="000000"/>
                <w:sz w:val="20"/>
                <w:szCs w:val="20"/>
              </w:rPr>
              <w:t>21,38%</w:t>
            </w:r>
          </w:p>
        </w:tc>
      </w:tr>
    </w:tbl>
    <w:p>
      <w:pPr>
        <w:jc w:val="both"/>
        <w:rPr>
          <w:rFonts w:ascii="Times New Roman" w:hAnsi="Times New Roman" w:cs="Times New Roman"/>
          <w:sz w:val="24"/>
          <w:szCs w:val="24"/>
        </w:rPr>
      </w:pPr>
      <w:r>
        <w:rPr>
          <w:rFonts w:ascii="Times New Roman" w:hAnsi="Times New Roman" w:cs="Times New Roman"/>
          <w:sz w:val="24"/>
          <w:szCs w:val="24"/>
        </w:rPr>
        <w:lastRenderedPageBreak/>
        <w:t>Kroz aktivnost A100001: Izdvajanje u tekuću pričuvu odnosi se na isplate iz pričuve na temelju odluke načelnika.</w:t>
      </w: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RAZDJEL 003: OPĆINSKO VIJEĆE</w:t>
      </w:r>
    </w:p>
    <w:p>
      <w:pPr>
        <w:jc w:val="both"/>
        <w:rPr>
          <w:rFonts w:ascii="Times New Roman" w:hAnsi="Times New Roman" w:cs="Times New Roman"/>
          <w:b/>
          <w:sz w:val="24"/>
          <w:szCs w:val="24"/>
        </w:rPr>
      </w:pPr>
      <w:r>
        <w:rPr>
          <w:rFonts w:ascii="Times New Roman" w:hAnsi="Times New Roman" w:cs="Times New Roman"/>
          <w:b/>
          <w:sz w:val="24"/>
          <w:szCs w:val="24"/>
        </w:rPr>
        <w:t>UKUPNI RASHODI OPĆINSKOG VIJEĆA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1827"/>
        <w:gridCol w:w="1686"/>
        <w:gridCol w:w="4724"/>
      </w:tblGrid>
      <w:tr>
        <w:tc>
          <w:tcPr>
            <w:tcW w:w="1227" w:type="dxa"/>
          </w:tcPr>
          <w:p>
            <w:pPr>
              <w:ind w:left="-142" w:right="-129"/>
              <w:jc w:val="center"/>
              <w:rPr>
                <w:b/>
                <w:bCs/>
                <w:color w:val="000000"/>
                <w:sz w:val="20"/>
                <w:szCs w:val="20"/>
              </w:rPr>
            </w:pPr>
            <w:r>
              <w:rPr>
                <w:b/>
                <w:bCs/>
                <w:color w:val="000000"/>
                <w:sz w:val="20"/>
                <w:szCs w:val="20"/>
              </w:rPr>
              <w:t>Razdjel</w:t>
            </w:r>
          </w:p>
        </w:tc>
        <w:tc>
          <w:tcPr>
            <w:tcW w:w="1827" w:type="dxa"/>
          </w:tcPr>
          <w:p>
            <w:pPr>
              <w:ind w:left="-108" w:right="-129"/>
              <w:jc w:val="center"/>
              <w:rPr>
                <w:b/>
                <w:bCs/>
                <w:color w:val="000000"/>
                <w:sz w:val="20"/>
                <w:szCs w:val="20"/>
              </w:rPr>
            </w:pPr>
            <w:r>
              <w:rPr>
                <w:b/>
                <w:bCs/>
                <w:color w:val="000000"/>
                <w:sz w:val="20"/>
                <w:szCs w:val="20"/>
              </w:rPr>
              <w:t>Izvorni plan 2023.</w:t>
            </w:r>
          </w:p>
        </w:tc>
        <w:tc>
          <w:tcPr>
            <w:tcW w:w="1686" w:type="dxa"/>
          </w:tcPr>
          <w:p>
            <w:pPr>
              <w:ind w:left="-108" w:right="-129"/>
              <w:jc w:val="center"/>
              <w:rPr>
                <w:b/>
                <w:bCs/>
                <w:color w:val="000000"/>
                <w:sz w:val="20"/>
                <w:szCs w:val="20"/>
              </w:rPr>
            </w:pPr>
            <w:r>
              <w:rPr>
                <w:b/>
                <w:bCs/>
                <w:color w:val="000000"/>
                <w:sz w:val="20"/>
                <w:szCs w:val="20"/>
              </w:rPr>
              <w:t xml:space="preserve">Izvršenje </w:t>
            </w:r>
          </w:p>
          <w:p>
            <w:pPr>
              <w:ind w:left="-108" w:right="-129"/>
              <w:jc w:val="center"/>
              <w:rPr>
                <w:b/>
                <w:bCs/>
                <w:color w:val="000000"/>
                <w:sz w:val="20"/>
                <w:szCs w:val="20"/>
              </w:rPr>
            </w:pPr>
            <w:r>
              <w:rPr>
                <w:b/>
                <w:bCs/>
                <w:color w:val="000000"/>
                <w:sz w:val="20"/>
                <w:szCs w:val="20"/>
              </w:rPr>
              <w:t>30.6.2023.</w:t>
            </w:r>
          </w:p>
        </w:tc>
        <w:tc>
          <w:tcPr>
            <w:tcW w:w="4724" w:type="dxa"/>
          </w:tcPr>
          <w:p>
            <w:pPr>
              <w:ind w:left="-108" w:right="-129"/>
              <w:jc w:val="center"/>
              <w:rPr>
                <w:b/>
                <w:bCs/>
                <w:color w:val="000000"/>
                <w:sz w:val="20"/>
                <w:szCs w:val="20"/>
              </w:rPr>
            </w:pPr>
            <w:r>
              <w:rPr>
                <w:b/>
                <w:bCs/>
                <w:color w:val="000000"/>
                <w:sz w:val="20"/>
                <w:szCs w:val="20"/>
              </w:rPr>
              <w:t xml:space="preserve">Indeks </w:t>
            </w:r>
          </w:p>
          <w:p>
            <w:pPr>
              <w:ind w:left="-108" w:right="-129"/>
              <w:jc w:val="center"/>
              <w:rPr>
                <w:b/>
                <w:bCs/>
                <w:color w:val="000000"/>
                <w:sz w:val="20"/>
                <w:szCs w:val="20"/>
              </w:rPr>
            </w:pPr>
            <w:r>
              <w:rPr>
                <w:b/>
                <w:bCs/>
                <w:color w:val="000000"/>
                <w:sz w:val="20"/>
                <w:szCs w:val="20"/>
              </w:rPr>
              <w:t>Izvršenje 30.6.2023./ Izvorni plan 2023.</w:t>
            </w:r>
          </w:p>
        </w:tc>
      </w:tr>
      <w:tr>
        <w:tc>
          <w:tcPr>
            <w:tcW w:w="1227" w:type="dxa"/>
          </w:tcPr>
          <w:p>
            <w:pPr>
              <w:ind w:left="-142" w:right="-129"/>
              <w:jc w:val="center"/>
              <w:rPr>
                <w:b/>
                <w:bCs/>
                <w:color w:val="000000"/>
                <w:sz w:val="20"/>
                <w:szCs w:val="20"/>
              </w:rPr>
            </w:pPr>
            <w:r>
              <w:rPr>
                <w:b/>
                <w:bCs/>
                <w:color w:val="000000"/>
                <w:sz w:val="20"/>
                <w:szCs w:val="20"/>
              </w:rPr>
              <w:t>003</w:t>
            </w:r>
          </w:p>
        </w:tc>
        <w:tc>
          <w:tcPr>
            <w:tcW w:w="1827" w:type="dxa"/>
          </w:tcPr>
          <w:p>
            <w:pPr>
              <w:ind w:left="-108" w:right="-129"/>
              <w:jc w:val="center"/>
              <w:rPr>
                <w:b/>
                <w:bCs/>
                <w:color w:val="000000"/>
                <w:sz w:val="20"/>
                <w:szCs w:val="20"/>
              </w:rPr>
            </w:pPr>
            <w:r>
              <w:rPr>
                <w:b/>
                <w:bCs/>
                <w:color w:val="000000"/>
                <w:sz w:val="20"/>
                <w:szCs w:val="20"/>
              </w:rPr>
              <w:t>1.354.200,00</w:t>
            </w:r>
          </w:p>
        </w:tc>
        <w:tc>
          <w:tcPr>
            <w:tcW w:w="1686" w:type="dxa"/>
            <w:vAlign w:val="center"/>
          </w:tcPr>
          <w:p>
            <w:pPr>
              <w:ind w:left="-108" w:right="-129"/>
              <w:jc w:val="center"/>
              <w:rPr>
                <w:b/>
                <w:bCs/>
                <w:color w:val="000000"/>
                <w:sz w:val="20"/>
                <w:szCs w:val="20"/>
              </w:rPr>
            </w:pPr>
            <w:r>
              <w:rPr>
                <w:b/>
                <w:bCs/>
                <w:color w:val="000000"/>
                <w:sz w:val="20"/>
                <w:szCs w:val="20"/>
              </w:rPr>
              <w:t>600.618,19</w:t>
            </w:r>
          </w:p>
        </w:tc>
        <w:tc>
          <w:tcPr>
            <w:tcW w:w="4724" w:type="dxa"/>
            <w:shd w:val="clear" w:color="auto" w:fill="auto"/>
            <w:vAlign w:val="center"/>
          </w:tcPr>
          <w:p>
            <w:pPr>
              <w:ind w:left="-108" w:right="-129"/>
              <w:jc w:val="center"/>
              <w:rPr>
                <w:b/>
                <w:bCs/>
                <w:color w:val="000000"/>
                <w:sz w:val="20"/>
                <w:szCs w:val="20"/>
              </w:rPr>
            </w:pPr>
            <w:r>
              <w:rPr>
                <w:b/>
                <w:bCs/>
                <w:color w:val="000000"/>
                <w:sz w:val="20"/>
                <w:szCs w:val="20"/>
              </w:rPr>
              <w:t>44,35%</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GLAVA 00301: OPĆINSKO VIJEĆE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1836"/>
        <w:gridCol w:w="1694"/>
        <w:gridCol w:w="4700"/>
      </w:tblGrid>
      <w:tr>
        <w:tc>
          <w:tcPr>
            <w:tcW w:w="1234" w:type="dxa"/>
          </w:tcPr>
          <w:p>
            <w:pPr>
              <w:ind w:left="-142" w:right="-114"/>
              <w:jc w:val="center"/>
              <w:rPr>
                <w:b/>
                <w:bCs/>
                <w:color w:val="000000"/>
                <w:sz w:val="20"/>
                <w:szCs w:val="20"/>
              </w:rPr>
            </w:pPr>
            <w:r>
              <w:rPr>
                <w:b/>
                <w:bCs/>
                <w:color w:val="000000"/>
                <w:sz w:val="20"/>
                <w:szCs w:val="20"/>
              </w:rPr>
              <w:t>Glava</w:t>
            </w:r>
          </w:p>
        </w:tc>
        <w:tc>
          <w:tcPr>
            <w:tcW w:w="1836" w:type="dxa"/>
          </w:tcPr>
          <w:p>
            <w:pPr>
              <w:ind w:left="-108" w:right="-114"/>
              <w:jc w:val="center"/>
              <w:rPr>
                <w:b/>
                <w:bCs/>
                <w:color w:val="000000"/>
                <w:sz w:val="20"/>
                <w:szCs w:val="20"/>
              </w:rPr>
            </w:pPr>
            <w:r>
              <w:rPr>
                <w:b/>
                <w:bCs/>
                <w:color w:val="000000"/>
                <w:sz w:val="20"/>
                <w:szCs w:val="20"/>
              </w:rPr>
              <w:t>Izvorni plan 2023.</w:t>
            </w:r>
          </w:p>
        </w:tc>
        <w:tc>
          <w:tcPr>
            <w:tcW w:w="1694"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700"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4" w:type="dxa"/>
          </w:tcPr>
          <w:p>
            <w:pPr>
              <w:ind w:left="-142" w:right="-114"/>
              <w:jc w:val="center"/>
              <w:rPr>
                <w:b/>
                <w:bCs/>
                <w:color w:val="000000"/>
                <w:sz w:val="20"/>
                <w:szCs w:val="20"/>
              </w:rPr>
            </w:pPr>
            <w:r>
              <w:rPr>
                <w:b/>
                <w:bCs/>
                <w:color w:val="000000"/>
                <w:sz w:val="20"/>
                <w:szCs w:val="20"/>
              </w:rPr>
              <w:t>00301</w:t>
            </w:r>
          </w:p>
        </w:tc>
        <w:tc>
          <w:tcPr>
            <w:tcW w:w="1836" w:type="dxa"/>
          </w:tcPr>
          <w:p>
            <w:pPr>
              <w:ind w:left="-108" w:right="-114"/>
              <w:jc w:val="center"/>
              <w:rPr>
                <w:b/>
                <w:bCs/>
                <w:color w:val="000000"/>
                <w:sz w:val="20"/>
                <w:szCs w:val="20"/>
              </w:rPr>
            </w:pPr>
            <w:r>
              <w:rPr>
                <w:b/>
                <w:bCs/>
                <w:color w:val="000000"/>
                <w:sz w:val="20"/>
                <w:szCs w:val="20"/>
              </w:rPr>
              <w:t>1.354.200,00</w:t>
            </w:r>
          </w:p>
        </w:tc>
        <w:tc>
          <w:tcPr>
            <w:tcW w:w="1694" w:type="dxa"/>
            <w:vAlign w:val="center"/>
          </w:tcPr>
          <w:p>
            <w:pPr>
              <w:ind w:left="-108" w:right="-114"/>
              <w:jc w:val="center"/>
              <w:rPr>
                <w:b/>
                <w:bCs/>
                <w:color w:val="000000"/>
                <w:sz w:val="20"/>
                <w:szCs w:val="20"/>
              </w:rPr>
            </w:pPr>
            <w:r>
              <w:rPr>
                <w:b/>
                <w:bCs/>
                <w:color w:val="000000"/>
                <w:sz w:val="20"/>
                <w:szCs w:val="20"/>
              </w:rPr>
              <w:t>600.618,19</w:t>
            </w:r>
          </w:p>
        </w:tc>
        <w:tc>
          <w:tcPr>
            <w:tcW w:w="4700" w:type="dxa"/>
            <w:vAlign w:val="center"/>
          </w:tcPr>
          <w:p>
            <w:pPr>
              <w:ind w:left="-108" w:right="-114"/>
              <w:jc w:val="center"/>
              <w:rPr>
                <w:b/>
                <w:bCs/>
                <w:color w:val="000000"/>
                <w:sz w:val="20"/>
                <w:szCs w:val="20"/>
              </w:rPr>
            </w:pPr>
            <w:r>
              <w:rPr>
                <w:b/>
                <w:bCs/>
                <w:color w:val="000000"/>
                <w:sz w:val="20"/>
                <w:szCs w:val="20"/>
              </w:rPr>
              <w:t>44,35%</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Popis programa:</w:t>
      </w:r>
    </w:p>
    <w:p>
      <w:pPr>
        <w:jc w:val="both"/>
        <w:rPr>
          <w:rFonts w:ascii="Times New Roman" w:hAnsi="Times New Roman" w:cs="Times New Roman"/>
          <w:b/>
          <w:sz w:val="24"/>
          <w:szCs w:val="24"/>
        </w:rPr>
      </w:pPr>
      <w:r>
        <w:rPr>
          <w:rFonts w:ascii="Times New Roman" w:hAnsi="Times New Roman" w:cs="Times New Roman"/>
          <w:b/>
          <w:sz w:val="24"/>
          <w:szCs w:val="24"/>
        </w:rPr>
        <w:t>PROGRAM 1002: Općinsko vijeće i radna tijela vijeća</w:t>
      </w:r>
    </w:p>
    <w:p>
      <w:pPr>
        <w:jc w:val="both"/>
        <w:rPr>
          <w:rFonts w:ascii="Times New Roman" w:hAnsi="Times New Roman" w:cs="Times New Roman"/>
          <w:b/>
          <w:sz w:val="24"/>
          <w:szCs w:val="24"/>
        </w:rPr>
      </w:pPr>
      <w:r>
        <w:rPr>
          <w:rFonts w:ascii="Times New Roman" w:hAnsi="Times New Roman" w:cs="Times New Roman"/>
          <w:b/>
          <w:sz w:val="24"/>
          <w:szCs w:val="24"/>
        </w:rPr>
        <w:t>PROGRAM 1003: Financiranje rada političkih stranaka</w:t>
      </w:r>
    </w:p>
    <w:p>
      <w:pPr>
        <w:jc w:val="both"/>
        <w:rPr>
          <w:rFonts w:ascii="Times New Roman" w:hAnsi="Times New Roman" w:cs="Times New Roman"/>
          <w:b/>
          <w:sz w:val="24"/>
          <w:szCs w:val="24"/>
        </w:rPr>
      </w:pPr>
      <w:r>
        <w:rPr>
          <w:rFonts w:ascii="Times New Roman" w:hAnsi="Times New Roman" w:cs="Times New Roman"/>
          <w:b/>
          <w:sz w:val="24"/>
          <w:szCs w:val="24"/>
        </w:rPr>
        <w:t>PROGRAM 1006: Izvršna uprava i administracija JUO</w:t>
      </w:r>
    </w:p>
    <w:p>
      <w:pPr>
        <w:jc w:val="both"/>
        <w:rPr>
          <w:rFonts w:ascii="Times New Roman" w:hAnsi="Times New Roman" w:cs="Times New Roman"/>
          <w:b/>
          <w:sz w:val="24"/>
          <w:szCs w:val="24"/>
        </w:rPr>
      </w:pPr>
      <w:r>
        <w:rPr>
          <w:rFonts w:ascii="Times New Roman" w:hAnsi="Times New Roman" w:cs="Times New Roman"/>
          <w:b/>
          <w:sz w:val="24"/>
          <w:szCs w:val="24"/>
        </w:rPr>
        <w:t>PROGRAM 1011: Financiranje službenika Šibensko-kninske županije</w:t>
      </w:r>
    </w:p>
    <w:p>
      <w:pPr>
        <w:jc w:val="both"/>
        <w:rPr>
          <w:rFonts w:ascii="Times New Roman" w:hAnsi="Times New Roman" w:cs="Times New Roman"/>
          <w:b/>
          <w:sz w:val="24"/>
          <w:szCs w:val="24"/>
        </w:rPr>
      </w:pPr>
      <w:r>
        <w:rPr>
          <w:rFonts w:ascii="Times New Roman" w:hAnsi="Times New Roman" w:cs="Times New Roman"/>
          <w:b/>
          <w:sz w:val="24"/>
          <w:szCs w:val="24"/>
        </w:rPr>
        <w:t>PROGRAM 1001: Sufinanciranje kulturnih akcija i manifestacija</w:t>
      </w:r>
    </w:p>
    <w:p>
      <w:pPr>
        <w:jc w:val="both"/>
        <w:rPr>
          <w:rFonts w:ascii="Times New Roman" w:hAnsi="Times New Roman" w:cs="Times New Roman"/>
          <w:b/>
          <w:sz w:val="24"/>
          <w:szCs w:val="24"/>
        </w:rPr>
      </w:pPr>
      <w:r>
        <w:rPr>
          <w:rFonts w:ascii="Times New Roman" w:hAnsi="Times New Roman" w:cs="Times New Roman"/>
          <w:b/>
          <w:sz w:val="24"/>
          <w:szCs w:val="24"/>
        </w:rPr>
        <w:t>PROGRAM 1002: Ostale kulturne djelatnosti</w:t>
      </w:r>
    </w:p>
    <w:p>
      <w:pPr>
        <w:jc w:val="both"/>
        <w:rPr>
          <w:rFonts w:ascii="Times New Roman" w:hAnsi="Times New Roman" w:cs="Times New Roman"/>
          <w:b/>
          <w:sz w:val="24"/>
          <w:szCs w:val="24"/>
        </w:rPr>
      </w:pPr>
      <w:r>
        <w:rPr>
          <w:rFonts w:ascii="Times New Roman" w:hAnsi="Times New Roman" w:cs="Times New Roman"/>
          <w:b/>
          <w:sz w:val="24"/>
          <w:szCs w:val="24"/>
        </w:rPr>
        <w:t>PROGRAM 1001: Razvoj sporta i rekreacije</w:t>
      </w:r>
    </w:p>
    <w:p>
      <w:pPr>
        <w:jc w:val="both"/>
        <w:rPr>
          <w:rFonts w:ascii="Times New Roman" w:hAnsi="Times New Roman" w:cs="Times New Roman"/>
          <w:b/>
          <w:sz w:val="24"/>
          <w:szCs w:val="24"/>
        </w:rPr>
      </w:pPr>
      <w:r>
        <w:rPr>
          <w:rFonts w:ascii="Times New Roman" w:hAnsi="Times New Roman" w:cs="Times New Roman"/>
          <w:b/>
          <w:sz w:val="24"/>
          <w:szCs w:val="24"/>
        </w:rPr>
        <w:t>PROGRAM 1001: Financiranje rada JVP Šibenik</w:t>
      </w:r>
    </w:p>
    <w:p>
      <w:pPr>
        <w:jc w:val="both"/>
        <w:rPr>
          <w:rFonts w:ascii="Times New Roman" w:hAnsi="Times New Roman" w:cs="Times New Roman"/>
          <w:b/>
          <w:sz w:val="24"/>
          <w:szCs w:val="24"/>
        </w:rPr>
      </w:pPr>
      <w:r>
        <w:rPr>
          <w:rFonts w:ascii="Times New Roman" w:hAnsi="Times New Roman" w:cs="Times New Roman"/>
          <w:b/>
          <w:sz w:val="24"/>
          <w:szCs w:val="24"/>
        </w:rPr>
        <w:t>PROGRAM 1002: Financiranje rada DVD Bilice</w:t>
      </w:r>
    </w:p>
    <w:p>
      <w:pPr>
        <w:jc w:val="both"/>
        <w:rPr>
          <w:rFonts w:ascii="Times New Roman" w:hAnsi="Times New Roman" w:cs="Times New Roman"/>
          <w:b/>
          <w:sz w:val="24"/>
          <w:szCs w:val="24"/>
        </w:rPr>
      </w:pPr>
      <w:r>
        <w:rPr>
          <w:rFonts w:ascii="Times New Roman" w:hAnsi="Times New Roman" w:cs="Times New Roman"/>
          <w:b/>
          <w:sz w:val="24"/>
          <w:szCs w:val="24"/>
        </w:rPr>
        <w:t>PROGRAM 1002: Jednokratne novčane pomoći</w:t>
      </w:r>
    </w:p>
    <w:p>
      <w:pPr>
        <w:jc w:val="both"/>
        <w:rPr>
          <w:rFonts w:ascii="Times New Roman" w:hAnsi="Times New Roman" w:cs="Times New Roman"/>
          <w:b/>
          <w:sz w:val="24"/>
          <w:szCs w:val="24"/>
        </w:rPr>
      </w:pPr>
      <w:r>
        <w:rPr>
          <w:rFonts w:ascii="Times New Roman" w:hAnsi="Times New Roman" w:cs="Times New Roman"/>
          <w:b/>
          <w:sz w:val="24"/>
          <w:szCs w:val="24"/>
        </w:rPr>
        <w:t>PROGRAM 1003: Podmirenje troškova stanovanja</w:t>
      </w:r>
    </w:p>
    <w:p>
      <w:pPr>
        <w:jc w:val="both"/>
        <w:rPr>
          <w:rFonts w:ascii="Times New Roman" w:hAnsi="Times New Roman" w:cs="Times New Roman"/>
          <w:b/>
          <w:sz w:val="24"/>
          <w:szCs w:val="24"/>
        </w:rPr>
      </w:pPr>
      <w:r>
        <w:rPr>
          <w:rFonts w:ascii="Times New Roman" w:hAnsi="Times New Roman" w:cs="Times New Roman"/>
          <w:b/>
          <w:sz w:val="24"/>
          <w:szCs w:val="24"/>
        </w:rPr>
        <w:t>PROGRAM 1006: Pomoć za rad ambulante</w:t>
      </w:r>
    </w:p>
    <w:p>
      <w:pPr>
        <w:jc w:val="both"/>
        <w:rPr>
          <w:rFonts w:ascii="Times New Roman" w:hAnsi="Times New Roman" w:cs="Times New Roman"/>
          <w:b/>
          <w:sz w:val="24"/>
          <w:szCs w:val="24"/>
        </w:rPr>
      </w:pPr>
      <w:r>
        <w:rPr>
          <w:rFonts w:ascii="Times New Roman" w:hAnsi="Times New Roman" w:cs="Times New Roman"/>
          <w:b/>
          <w:sz w:val="24"/>
          <w:szCs w:val="24"/>
        </w:rPr>
        <w:t>PROGRAM 1007: Sredstva za nabavu školske opreme</w:t>
      </w:r>
    </w:p>
    <w:p>
      <w:pPr>
        <w:jc w:val="both"/>
        <w:rPr>
          <w:rFonts w:ascii="Times New Roman" w:hAnsi="Times New Roman" w:cs="Times New Roman"/>
          <w:b/>
          <w:sz w:val="24"/>
          <w:szCs w:val="24"/>
        </w:rPr>
      </w:pPr>
      <w:r>
        <w:rPr>
          <w:rFonts w:ascii="Times New Roman" w:hAnsi="Times New Roman" w:cs="Times New Roman"/>
          <w:b/>
          <w:sz w:val="24"/>
          <w:szCs w:val="24"/>
        </w:rPr>
        <w:t>PROGRAM 1008: Tekuće donacije vjerskim organizacijama</w:t>
      </w:r>
    </w:p>
    <w:p>
      <w:pPr>
        <w:jc w:val="both"/>
        <w:rPr>
          <w:rFonts w:ascii="Times New Roman" w:hAnsi="Times New Roman" w:cs="Times New Roman"/>
          <w:b/>
          <w:sz w:val="24"/>
          <w:szCs w:val="24"/>
        </w:rPr>
      </w:pPr>
      <w:r>
        <w:rPr>
          <w:rFonts w:ascii="Times New Roman" w:hAnsi="Times New Roman" w:cs="Times New Roman"/>
          <w:b/>
          <w:sz w:val="24"/>
          <w:szCs w:val="24"/>
        </w:rPr>
        <w:t>PROGRAM 1009: Financiranje rada Crvenog križa</w:t>
      </w:r>
    </w:p>
    <w:p>
      <w:pPr>
        <w:jc w:val="both"/>
        <w:rPr>
          <w:rFonts w:ascii="Times New Roman" w:hAnsi="Times New Roman" w:cs="Times New Roman"/>
          <w:b/>
          <w:sz w:val="24"/>
          <w:szCs w:val="24"/>
        </w:rPr>
      </w:pPr>
      <w:r>
        <w:rPr>
          <w:rFonts w:ascii="Times New Roman" w:hAnsi="Times New Roman" w:cs="Times New Roman"/>
          <w:b/>
          <w:sz w:val="24"/>
          <w:szCs w:val="24"/>
        </w:rPr>
        <w:t>PROGRAM 1001: Sufinanciranje programa predškolskog odgoja</w:t>
      </w:r>
    </w:p>
    <w:p>
      <w:pPr>
        <w:jc w:val="both"/>
        <w:rPr>
          <w:rFonts w:ascii="Times New Roman" w:hAnsi="Times New Roman" w:cs="Times New Roman"/>
          <w:b/>
          <w:sz w:val="24"/>
          <w:szCs w:val="24"/>
        </w:rPr>
      </w:pPr>
      <w:r>
        <w:rPr>
          <w:rFonts w:ascii="Times New Roman" w:hAnsi="Times New Roman" w:cs="Times New Roman"/>
          <w:b/>
          <w:sz w:val="24"/>
          <w:szCs w:val="24"/>
        </w:rPr>
        <w:lastRenderedPageBreak/>
        <w:t>PROGRAM 1001: Civilna zaštita</w:t>
      </w:r>
    </w:p>
    <w:p>
      <w:pPr>
        <w:jc w:val="both"/>
        <w:rPr>
          <w:rFonts w:ascii="Times New Roman" w:hAnsi="Times New Roman" w:cs="Times New Roman"/>
          <w:b/>
          <w:sz w:val="24"/>
          <w:szCs w:val="24"/>
        </w:rPr>
      </w:pPr>
      <w:r>
        <w:rPr>
          <w:rFonts w:ascii="Times New Roman" w:hAnsi="Times New Roman" w:cs="Times New Roman"/>
          <w:b/>
          <w:sz w:val="24"/>
          <w:szCs w:val="24"/>
        </w:rPr>
        <w:t>PROGRAM 1001: Tekuće održavanje javnih zelenih površina</w:t>
      </w:r>
    </w:p>
    <w:p>
      <w:pPr>
        <w:jc w:val="both"/>
        <w:rPr>
          <w:rFonts w:ascii="Times New Roman" w:hAnsi="Times New Roman" w:cs="Times New Roman"/>
          <w:b/>
          <w:sz w:val="24"/>
          <w:szCs w:val="24"/>
        </w:rPr>
      </w:pPr>
      <w:r>
        <w:rPr>
          <w:rFonts w:ascii="Times New Roman" w:hAnsi="Times New Roman" w:cs="Times New Roman"/>
          <w:b/>
          <w:sz w:val="24"/>
          <w:szCs w:val="24"/>
        </w:rPr>
        <w:t>PROGRAM 1002: Održavanje nerazvrstanih cesta</w:t>
      </w:r>
    </w:p>
    <w:p>
      <w:pPr>
        <w:jc w:val="both"/>
        <w:rPr>
          <w:rFonts w:ascii="Times New Roman" w:hAnsi="Times New Roman" w:cs="Times New Roman"/>
          <w:b/>
          <w:sz w:val="24"/>
          <w:szCs w:val="24"/>
        </w:rPr>
      </w:pPr>
      <w:r>
        <w:rPr>
          <w:rFonts w:ascii="Times New Roman" w:hAnsi="Times New Roman" w:cs="Times New Roman"/>
          <w:b/>
          <w:sz w:val="24"/>
          <w:szCs w:val="24"/>
        </w:rPr>
        <w:t>PROGRAM 1003: Održavanje groblja</w:t>
      </w:r>
    </w:p>
    <w:p>
      <w:pPr>
        <w:jc w:val="both"/>
        <w:rPr>
          <w:rFonts w:ascii="Times New Roman" w:hAnsi="Times New Roman" w:cs="Times New Roman"/>
          <w:b/>
          <w:sz w:val="24"/>
          <w:szCs w:val="24"/>
        </w:rPr>
      </w:pPr>
      <w:r>
        <w:rPr>
          <w:rFonts w:ascii="Times New Roman" w:hAnsi="Times New Roman" w:cs="Times New Roman"/>
          <w:b/>
          <w:sz w:val="24"/>
          <w:szCs w:val="24"/>
        </w:rPr>
        <w:t>PROGRAM 1004: Održavanje javne rasvjete</w:t>
      </w:r>
    </w:p>
    <w:p>
      <w:pPr>
        <w:jc w:val="both"/>
        <w:rPr>
          <w:rFonts w:ascii="Times New Roman" w:hAnsi="Times New Roman" w:cs="Times New Roman"/>
          <w:b/>
          <w:sz w:val="24"/>
          <w:szCs w:val="24"/>
        </w:rPr>
      </w:pPr>
      <w:r>
        <w:rPr>
          <w:rFonts w:ascii="Times New Roman" w:hAnsi="Times New Roman" w:cs="Times New Roman"/>
          <w:b/>
          <w:sz w:val="24"/>
          <w:szCs w:val="24"/>
        </w:rPr>
        <w:t>PROGRAM 1009: Mali komunalni zahvati po zaseocima</w:t>
      </w:r>
    </w:p>
    <w:p>
      <w:pPr>
        <w:jc w:val="both"/>
        <w:rPr>
          <w:rFonts w:ascii="Times New Roman" w:hAnsi="Times New Roman" w:cs="Times New Roman"/>
          <w:b/>
          <w:sz w:val="24"/>
          <w:szCs w:val="24"/>
        </w:rPr>
      </w:pPr>
      <w:r>
        <w:rPr>
          <w:rFonts w:ascii="Times New Roman" w:hAnsi="Times New Roman" w:cs="Times New Roman"/>
          <w:b/>
          <w:sz w:val="24"/>
          <w:szCs w:val="24"/>
        </w:rPr>
        <w:t>PROGRAM 1012: Održavanje javnih površina na kojima nije dopušten promet motornih vozila</w:t>
      </w:r>
    </w:p>
    <w:p>
      <w:pPr>
        <w:jc w:val="both"/>
        <w:rPr>
          <w:rFonts w:ascii="Times New Roman" w:hAnsi="Times New Roman" w:cs="Times New Roman"/>
          <w:b/>
          <w:sz w:val="24"/>
          <w:szCs w:val="24"/>
        </w:rPr>
      </w:pPr>
      <w:r>
        <w:rPr>
          <w:rFonts w:ascii="Times New Roman" w:hAnsi="Times New Roman" w:cs="Times New Roman"/>
          <w:b/>
          <w:sz w:val="24"/>
          <w:szCs w:val="24"/>
        </w:rPr>
        <w:t>PROGRAM 1001: Izgradnja javne rasvjete</w:t>
      </w:r>
    </w:p>
    <w:p>
      <w:pPr>
        <w:jc w:val="both"/>
        <w:rPr>
          <w:rFonts w:ascii="Times New Roman" w:hAnsi="Times New Roman" w:cs="Times New Roman"/>
          <w:b/>
          <w:sz w:val="24"/>
          <w:szCs w:val="24"/>
        </w:rPr>
      </w:pPr>
      <w:r>
        <w:rPr>
          <w:rFonts w:ascii="Times New Roman" w:hAnsi="Times New Roman" w:cs="Times New Roman"/>
          <w:b/>
          <w:sz w:val="24"/>
          <w:szCs w:val="24"/>
        </w:rPr>
        <w:t>PROGRAM 1004: Asfaltiranje i rekonstrukcija ulica</w:t>
      </w:r>
    </w:p>
    <w:p>
      <w:pPr>
        <w:jc w:val="both"/>
        <w:rPr>
          <w:rFonts w:ascii="Times New Roman" w:hAnsi="Times New Roman" w:cs="Times New Roman"/>
          <w:b/>
          <w:sz w:val="24"/>
          <w:szCs w:val="24"/>
        </w:rPr>
      </w:pPr>
      <w:r>
        <w:rPr>
          <w:rFonts w:ascii="Times New Roman" w:hAnsi="Times New Roman" w:cs="Times New Roman"/>
          <w:b/>
          <w:sz w:val="24"/>
          <w:szCs w:val="24"/>
        </w:rPr>
        <w:t>PROGRAM 1006: Izgradnja dječjih igrališta</w:t>
      </w:r>
    </w:p>
    <w:p>
      <w:pPr>
        <w:jc w:val="both"/>
        <w:rPr>
          <w:rFonts w:ascii="Times New Roman" w:hAnsi="Times New Roman" w:cs="Times New Roman"/>
          <w:b/>
          <w:sz w:val="24"/>
          <w:szCs w:val="24"/>
        </w:rPr>
      </w:pPr>
      <w:r>
        <w:rPr>
          <w:rFonts w:ascii="Times New Roman" w:hAnsi="Times New Roman" w:cs="Times New Roman"/>
          <w:b/>
          <w:sz w:val="24"/>
          <w:szCs w:val="24"/>
        </w:rPr>
        <w:t>PROGRAM 1007: Izgradnja i opremanje zgrade Općine Bilice</w:t>
      </w:r>
    </w:p>
    <w:p>
      <w:pPr>
        <w:jc w:val="both"/>
        <w:rPr>
          <w:rFonts w:ascii="Times New Roman" w:hAnsi="Times New Roman" w:cs="Times New Roman"/>
          <w:b/>
          <w:sz w:val="24"/>
          <w:szCs w:val="24"/>
        </w:rPr>
      </w:pPr>
      <w:r>
        <w:rPr>
          <w:rFonts w:ascii="Times New Roman" w:hAnsi="Times New Roman" w:cs="Times New Roman"/>
          <w:b/>
          <w:sz w:val="24"/>
          <w:szCs w:val="24"/>
        </w:rPr>
        <w:t>PROGRAM 1009: Izgradnja kapelice na Pomišlju</w:t>
      </w:r>
    </w:p>
    <w:p>
      <w:pPr>
        <w:jc w:val="both"/>
        <w:rPr>
          <w:rFonts w:ascii="Times New Roman" w:hAnsi="Times New Roman" w:cs="Times New Roman"/>
          <w:b/>
          <w:sz w:val="24"/>
          <w:szCs w:val="24"/>
        </w:rPr>
      </w:pPr>
      <w:r>
        <w:rPr>
          <w:rFonts w:ascii="Times New Roman" w:hAnsi="Times New Roman" w:cs="Times New Roman"/>
          <w:b/>
          <w:sz w:val="24"/>
          <w:szCs w:val="24"/>
        </w:rPr>
        <w:t>PROGRAM 1011: Izgradnja šetnice</w:t>
      </w:r>
    </w:p>
    <w:p>
      <w:pPr>
        <w:jc w:val="both"/>
        <w:rPr>
          <w:rFonts w:ascii="Times New Roman" w:hAnsi="Times New Roman" w:cs="Times New Roman"/>
          <w:b/>
          <w:sz w:val="24"/>
          <w:szCs w:val="24"/>
        </w:rPr>
      </w:pPr>
      <w:r>
        <w:rPr>
          <w:rFonts w:ascii="Times New Roman" w:hAnsi="Times New Roman" w:cs="Times New Roman"/>
          <w:b/>
          <w:sz w:val="24"/>
          <w:szCs w:val="24"/>
        </w:rPr>
        <w:t>PROGRAM 1016: Izgradnja infrastrukture i okoliša zgrade Općine</w:t>
      </w:r>
    </w:p>
    <w:p>
      <w:pPr>
        <w:jc w:val="both"/>
        <w:rPr>
          <w:rFonts w:ascii="Times New Roman" w:hAnsi="Times New Roman" w:cs="Times New Roman"/>
          <w:b/>
          <w:sz w:val="24"/>
          <w:szCs w:val="24"/>
        </w:rPr>
      </w:pPr>
      <w:r>
        <w:rPr>
          <w:rFonts w:ascii="Times New Roman" w:hAnsi="Times New Roman" w:cs="Times New Roman"/>
          <w:b/>
          <w:sz w:val="24"/>
          <w:szCs w:val="24"/>
        </w:rPr>
        <w:t>PROGRAM 1002: Srednja škola</w:t>
      </w:r>
    </w:p>
    <w:p>
      <w:pPr>
        <w:jc w:val="both"/>
        <w:rPr>
          <w:rFonts w:ascii="Times New Roman" w:hAnsi="Times New Roman" w:cs="Times New Roman"/>
          <w:b/>
          <w:sz w:val="24"/>
          <w:szCs w:val="24"/>
        </w:rPr>
      </w:pPr>
      <w:r>
        <w:rPr>
          <w:rFonts w:ascii="Times New Roman" w:hAnsi="Times New Roman" w:cs="Times New Roman"/>
          <w:b/>
          <w:sz w:val="24"/>
          <w:szCs w:val="24"/>
        </w:rPr>
        <w:t>PROGRAM 1001: Financiranje održavanja pomorskog dobra</w:t>
      </w:r>
    </w:p>
    <w:p>
      <w:pPr>
        <w:jc w:val="both"/>
        <w:rPr>
          <w:rFonts w:ascii="Times New Roman" w:hAnsi="Times New Roman" w:cs="Times New Roman"/>
          <w:b/>
          <w:sz w:val="24"/>
          <w:szCs w:val="24"/>
        </w:rPr>
      </w:pPr>
      <w:r>
        <w:rPr>
          <w:rFonts w:ascii="Times New Roman" w:hAnsi="Times New Roman" w:cs="Times New Roman"/>
          <w:b/>
          <w:sz w:val="24"/>
          <w:szCs w:val="24"/>
        </w:rPr>
        <w:t xml:space="preserve">PROGRAM 1003: Izrada projektne dokumentacije </w:t>
      </w:r>
    </w:p>
    <w:p>
      <w:pPr>
        <w:jc w:val="both"/>
        <w:rPr>
          <w:rFonts w:ascii="Times New Roman" w:hAnsi="Times New Roman" w:cs="Times New Roman"/>
          <w:b/>
          <w:sz w:val="24"/>
          <w:szCs w:val="24"/>
        </w:rPr>
      </w:pPr>
      <w:r>
        <w:rPr>
          <w:rFonts w:ascii="Times New Roman" w:hAnsi="Times New Roman" w:cs="Times New Roman"/>
          <w:b/>
          <w:sz w:val="24"/>
          <w:szCs w:val="24"/>
        </w:rPr>
        <w:t>PROGRAM 1001: Poticanje razvoja turizma</w:t>
      </w:r>
    </w:p>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1002: Općinsko vijeće i radna tijela vijeća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1002</w:t>
            </w:r>
          </w:p>
        </w:tc>
        <w:tc>
          <w:tcPr>
            <w:tcW w:w="1835" w:type="dxa"/>
          </w:tcPr>
          <w:p>
            <w:pPr>
              <w:ind w:left="-108" w:right="-114"/>
              <w:jc w:val="center"/>
              <w:rPr>
                <w:b/>
                <w:bCs/>
                <w:color w:val="000000"/>
                <w:sz w:val="20"/>
                <w:szCs w:val="20"/>
              </w:rPr>
            </w:pPr>
            <w:r>
              <w:rPr>
                <w:b/>
                <w:bCs/>
                <w:color w:val="000000"/>
                <w:sz w:val="20"/>
                <w:szCs w:val="20"/>
              </w:rPr>
              <w:t>12.000,00</w:t>
            </w:r>
          </w:p>
        </w:tc>
        <w:tc>
          <w:tcPr>
            <w:tcW w:w="1693" w:type="dxa"/>
          </w:tcPr>
          <w:p>
            <w:pPr>
              <w:ind w:left="-108" w:right="-114"/>
              <w:jc w:val="center"/>
              <w:rPr>
                <w:b/>
                <w:bCs/>
                <w:color w:val="000000"/>
                <w:sz w:val="20"/>
                <w:szCs w:val="20"/>
              </w:rPr>
            </w:pPr>
            <w:r>
              <w:rPr>
                <w:b/>
                <w:bCs/>
                <w:color w:val="000000"/>
                <w:sz w:val="20"/>
                <w:szCs w:val="20"/>
              </w:rPr>
              <w:t>5.975,22</w:t>
            </w:r>
          </w:p>
        </w:tc>
        <w:tc>
          <w:tcPr>
            <w:tcW w:w="4697" w:type="dxa"/>
          </w:tcPr>
          <w:p>
            <w:pPr>
              <w:ind w:left="-108" w:right="-114"/>
              <w:jc w:val="center"/>
              <w:rPr>
                <w:b/>
                <w:bCs/>
                <w:color w:val="000000"/>
                <w:sz w:val="20"/>
                <w:szCs w:val="20"/>
              </w:rPr>
            </w:pPr>
            <w:r>
              <w:rPr>
                <w:b/>
                <w:bCs/>
                <w:color w:val="000000"/>
                <w:sz w:val="20"/>
                <w:szCs w:val="20"/>
              </w:rPr>
              <w:t>49,79%</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14"/>
        </w:numPr>
        <w:jc w:val="both"/>
        <w:rPr>
          <w:rFonts w:ascii="Times New Roman" w:hAnsi="Times New Roman" w:cs="Times New Roman"/>
          <w:b/>
          <w:sz w:val="24"/>
          <w:szCs w:val="24"/>
        </w:rPr>
      </w:pPr>
      <w:r>
        <w:rPr>
          <w:rFonts w:ascii="Times New Roman" w:hAnsi="Times New Roman" w:cs="Times New Roman"/>
          <w:b/>
          <w:sz w:val="24"/>
          <w:szCs w:val="24"/>
        </w:rPr>
        <w:t>Aktivnost A100001: Općinsko vijeće i radna tijela vijeća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12.000,00</w:t>
            </w:r>
          </w:p>
        </w:tc>
        <w:tc>
          <w:tcPr>
            <w:tcW w:w="1693" w:type="dxa"/>
          </w:tcPr>
          <w:p>
            <w:pPr>
              <w:ind w:left="-108" w:right="-114"/>
              <w:jc w:val="center"/>
              <w:rPr>
                <w:b/>
                <w:bCs/>
                <w:color w:val="000000"/>
                <w:sz w:val="20"/>
                <w:szCs w:val="20"/>
              </w:rPr>
            </w:pPr>
            <w:r>
              <w:rPr>
                <w:b/>
                <w:bCs/>
                <w:color w:val="000000"/>
                <w:sz w:val="20"/>
                <w:szCs w:val="20"/>
              </w:rPr>
              <w:t>5.975,22</w:t>
            </w:r>
          </w:p>
        </w:tc>
        <w:tc>
          <w:tcPr>
            <w:tcW w:w="4698" w:type="dxa"/>
          </w:tcPr>
          <w:p>
            <w:pPr>
              <w:ind w:left="-108" w:right="-114"/>
              <w:jc w:val="center"/>
              <w:rPr>
                <w:b/>
                <w:bCs/>
                <w:color w:val="000000"/>
                <w:sz w:val="20"/>
                <w:szCs w:val="20"/>
              </w:rPr>
            </w:pPr>
            <w:r>
              <w:rPr>
                <w:b/>
                <w:bCs/>
                <w:color w:val="000000"/>
                <w:sz w:val="20"/>
                <w:szCs w:val="20"/>
              </w:rPr>
              <w:t>49,79%</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Općinsko vijeće i radna tijela vijeća odnosi se na naknade za rad u vijeću.</w:t>
      </w:r>
    </w:p>
    <w:p>
      <w:pPr>
        <w:jc w:val="both"/>
        <w:rPr>
          <w:rFonts w:ascii="Times New Roman" w:hAnsi="Times New Roman" w:cs="Times New Roman"/>
          <w:b/>
          <w:sz w:val="24"/>
          <w:szCs w:val="24"/>
        </w:rPr>
      </w:pPr>
      <w:r>
        <w:rPr>
          <w:rFonts w:ascii="Times New Roman" w:hAnsi="Times New Roman" w:cs="Times New Roman"/>
          <w:b/>
          <w:sz w:val="24"/>
          <w:szCs w:val="24"/>
        </w:rPr>
        <w:lastRenderedPageBreak/>
        <w:t>Program 1003: Financiranje rada političkih stranaka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1003</w:t>
            </w:r>
          </w:p>
        </w:tc>
        <w:tc>
          <w:tcPr>
            <w:tcW w:w="1835" w:type="dxa"/>
          </w:tcPr>
          <w:p>
            <w:pPr>
              <w:ind w:left="-108" w:right="-114"/>
              <w:jc w:val="center"/>
              <w:rPr>
                <w:b/>
                <w:bCs/>
                <w:color w:val="000000"/>
                <w:sz w:val="20"/>
                <w:szCs w:val="20"/>
              </w:rPr>
            </w:pPr>
            <w:r>
              <w:rPr>
                <w:b/>
                <w:bCs/>
                <w:color w:val="000000"/>
                <w:sz w:val="20"/>
                <w:szCs w:val="20"/>
              </w:rPr>
              <w:t>1.200,00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15"/>
        </w:numPr>
        <w:jc w:val="both"/>
        <w:rPr>
          <w:rFonts w:ascii="Times New Roman" w:hAnsi="Times New Roman" w:cs="Times New Roman"/>
          <w:b/>
          <w:sz w:val="24"/>
          <w:szCs w:val="24"/>
        </w:rPr>
      </w:pPr>
      <w:r>
        <w:rPr>
          <w:rFonts w:ascii="Times New Roman" w:hAnsi="Times New Roman" w:cs="Times New Roman"/>
          <w:b/>
          <w:sz w:val="24"/>
          <w:szCs w:val="24"/>
        </w:rPr>
        <w:t>Aktivnost A100001: Financiranje rada političkih stranaka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1.200,00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Financiranje rada političkih stranaka odnosi se na naknadu političkim strankama za vijećnike u predstavničkom tijelu.</w:t>
      </w:r>
    </w:p>
    <w:p>
      <w:pPr>
        <w:jc w:val="both"/>
        <w:rPr>
          <w:rFonts w:ascii="Times New Roman" w:hAnsi="Times New Roman" w:cs="Times New Roman"/>
          <w:b/>
          <w:sz w:val="24"/>
          <w:szCs w:val="24"/>
        </w:rPr>
      </w:pPr>
      <w:r>
        <w:rPr>
          <w:rFonts w:ascii="Times New Roman" w:hAnsi="Times New Roman" w:cs="Times New Roman"/>
          <w:b/>
          <w:sz w:val="24"/>
          <w:szCs w:val="24"/>
        </w:rPr>
        <w:t>Program 1006: Izvršna uprava i administracija JUO</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1006</w:t>
            </w:r>
          </w:p>
        </w:tc>
        <w:tc>
          <w:tcPr>
            <w:tcW w:w="1835" w:type="dxa"/>
          </w:tcPr>
          <w:p>
            <w:pPr>
              <w:ind w:left="-108" w:right="-114"/>
              <w:jc w:val="center"/>
              <w:rPr>
                <w:b/>
                <w:bCs/>
                <w:color w:val="000000"/>
                <w:sz w:val="20"/>
                <w:szCs w:val="20"/>
              </w:rPr>
            </w:pPr>
            <w:r>
              <w:rPr>
                <w:b/>
                <w:bCs/>
                <w:color w:val="000000"/>
                <w:sz w:val="20"/>
                <w:szCs w:val="20"/>
              </w:rPr>
              <w:t>73.800,00</w:t>
            </w:r>
          </w:p>
        </w:tc>
        <w:tc>
          <w:tcPr>
            <w:tcW w:w="1693" w:type="dxa"/>
          </w:tcPr>
          <w:p>
            <w:pPr>
              <w:ind w:left="-108" w:right="-114"/>
              <w:jc w:val="center"/>
              <w:rPr>
                <w:b/>
                <w:bCs/>
                <w:color w:val="000000"/>
                <w:sz w:val="20"/>
                <w:szCs w:val="20"/>
              </w:rPr>
            </w:pPr>
            <w:r>
              <w:rPr>
                <w:b/>
                <w:bCs/>
                <w:color w:val="000000"/>
                <w:sz w:val="20"/>
                <w:szCs w:val="20"/>
              </w:rPr>
              <w:t>33.315,58</w:t>
            </w:r>
          </w:p>
        </w:tc>
        <w:tc>
          <w:tcPr>
            <w:tcW w:w="4697" w:type="dxa"/>
          </w:tcPr>
          <w:p>
            <w:pPr>
              <w:ind w:left="-108" w:right="-114"/>
              <w:jc w:val="center"/>
              <w:rPr>
                <w:b/>
                <w:bCs/>
                <w:color w:val="000000"/>
                <w:sz w:val="20"/>
                <w:szCs w:val="20"/>
              </w:rPr>
            </w:pPr>
            <w:r>
              <w:rPr>
                <w:b/>
                <w:bCs/>
                <w:color w:val="000000"/>
                <w:sz w:val="20"/>
                <w:szCs w:val="20"/>
              </w:rPr>
              <w:t>45,14%</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16"/>
        </w:numPr>
        <w:jc w:val="both"/>
        <w:rPr>
          <w:rFonts w:ascii="Times New Roman" w:hAnsi="Times New Roman" w:cs="Times New Roman"/>
          <w:b/>
          <w:sz w:val="24"/>
          <w:szCs w:val="24"/>
        </w:rPr>
      </w:pPr>
      <w:r>
        <w:rPr>
          <w:rFonts w:ascii="Times New Roman" w:hAnsi="Times New Roman" w:cs="Times New Roman"/>
          <w:b/>
          <w:sz w:val="24"/>
          <w:szCs w:val="24"/>
        </w:rPr>
        <w:t>Aktivnost A100004: Rashodi za usluge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A100004</w:t>
            </w:r>
          </w:p>
        </w:tc>
        <w:tc>
          <w:tcPr>
            <w:tcW w:w="1834" w:type="dxa"/>
          </w:tcPr>
          <w:p>
            <w:pPr>
              <w:ind w:left="-108" w:right="-114"/>
              <w:jc w:val="center"/>
              <w:rPr>
                <w:b/>
                <w:bCs/>
                <w:color w:val="000000"/>
                <w:sz w:val="20"/>
                <w:szCs w:val="20"/>
              </w:rPr>
            </w:pPr>
            <w:r>
              <w:rPr>
                <w:b/>
                <w:bCs/>
                <w:color w:val="000000"/>
                <w:sz w:val="20"/>
                <w:szCs w:val="20"/>
              </w:rPr>
              <w:t>73.800,00</w:t>
            </w:r>
          </w:p>
        </w:tc>
        <w:tc>
          <w:tcPr>
            <w:tcW w:w="1693" w:type="dxa"/>
          </w:tcPr>
          <w:p>
            <w:pPr>
              <w:ind w:left="-108" w:right="-114"/>
              <w:jc w:val="center"/>
              <w:rPr>
                <w:b/>
                <w:bCs/>
                <w:color w:val="000000"/>
                <w:sz w:val="20"/>
                <w:szCs w:val="20"/>
              </w:rPr>
            </w:pPr>
            <w:r>
              <w:rPr>
                <w:b/>
                <w:bCs/>
                <w:color w:val="000000"/>
                <w:sz w:val="20"/>
                <w:szCs w:val="20"/>
              </w:rPr>
              <w:t>33.315,58</w:t>
            </w:r>
          </w:p>
        </w:tc>
        <w:tc>
          <w:tcPr>
            <w:tcW w:w="4698" w:type="dxa"/>
          </w:tcPr>
          <w:p>
            <w:pPr>
              <w:ind w:left="-108" w:right="-114"/>
              <w:jc w:val="center"/>
              <w:rPr>
                <w:b/>
                <w:bCs/>
                <w:color w:val="000000"/>
                <w:sz w:val="20"/>
                <w:szCs w:val="20"/>
              </w:rPr>
            </w:pPr>
            <w:r>
              <w:rPr>
                <w:b/>
                <w:bCs/>
                <w:color w:val="000000"/>
                <w:sz w:val="20"/>
                <w:szCs w:val="20"/>
              </w:rPr>
              <w:t>45,14%</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A100004: Rashodi za usluge odnosi se na rashode za kamate na dugoročni kredit i otplatu glavnice.</w:t>
      </w:r>
    </w:p>
    <w:p>
      <w:pPr>
        <w:jc w:val="both"/>
        <w:rPr>
          <w:rFonts w:ascii="Times New Roman" w:hAnsi="Times New Roman" w:cs="Times New Roman"/>
          <w:b/>
          <w:sz w:val="24"/>
          <w:szCs w:val="24"/>
        </w:rPr>
      </w:pPr>
      <w:r>
        <w:rPr>
          <w:rFonts w:ascii="Times New Roman" w:hAnsi="Times New Roman" w:cs="Times New Roman"/>
          <w:b/>
          <w:sz w:val="24"/>
          <w:szCs w:val="24"/>
        </w:rPr>
        <w:t>Program 1011: Financiranje službenika Šibensko-kninske županije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1011</w:t>
            </w:r>
          </w:p>
        </w:tc>
        <w:tc>
          <w:tcPr>
            <w:tcW w:w="1835" w:type="dxa"/>
          </w:tcPr>
          <w:p>
            <w:pPr>
              <w:ind w:left="-108" w:right="-114"/>
              <w:jc w:val="center"/>
              <w:rPr>
                <w:b/>
                <w:bCs/>
                <w:color w:val="000000"/>
                <w:sz w:val="20"/>
                <w:szCs w:val="20"/>
              </w:rPr>
            </w:pPr>
            <w:r>
              <w:rPr>
                <w:b/>
                <w:bCs/>
                <w:color w:val="000000"/>
                <w:sz w:val="20"/>
                <w:szCs w:val="20"/>
              </w:rPr>
              <w:t>26.500,00</w:t>
            </w:r>
          </w:p>
        </w:tc>
        <w:tc>
          <w:tcPr>
            <w:tcW w:w="1693" w:type="dxa"/>
          </w:tcPr>
          <w:p>
            <w:pPr>
              <w:ind w:left="-108" w:right="-114"/>
              <w:jc w:val="center"/>
              <w:rPr>
                <w:b/>
                <w:bCs/>
                <w:color w:val="000000"/>
                <w:sz w:val="20"/>
                <w:szCs w:val="20"/>
              </w:rPr>
            </w:pPr>
            <w:r>
              <w:rPr>
                <w:b/>
                <w:bCs/>
                <w:color w:val="000000"/>
                <w:sz w:val="20"/>
                <w:szCs w:val="20"/>
              </w:rPr>
              <w:t>5.257,70</w:t>
            </w:r>
          </w:p>
        </w:tc>
        <w:tc>
          <w:tcPr>
            <w:tcW w:w="4697" w:type="dxa"/>
          </w:tcPr>
          <w:p>
            <w:pPr>
              <w:ind w:left="-108" w:right="-114"/>
              <w:jc w:val="center"/>
              <w:rPr>
                <w:b/>
                <w:bCs/>
                <w:color w:val="000000"/>
                <w:sz w:val="20"/>
                <w:szCs w:val="20"/>
              </w:rPr>
            </w:pPr>
            <w:r>
              <w:rPr>
                <w:b/>
                <w:bCs/>
                <w:color w:val="000000"/>
                <w:sz w:val="20"/>
                <w:szCs w:val="20"/>
              </w:rPr>
              <w:t>19,84%</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17"/>
        </w:numPr>
        <w:jc w:val="both"/>
        <w:rPr>
          <w:rFonts w:ascii="Times New Roman" w:hAnsi="Times New Roman" w:cs="Times New Roman"/>
          <w:b/>
          <w:sz w:val="24"/>
          <w:szCs w:val="24"/>
        </w:rPr>
      </w:pPr>
      <w:r>
        <w:rPr>
          <w:rFonts w:ascii="Times New Roman" w:hAnsi="Times New Roman" w:cs="Times New Roman"/>
          <w:b/>
          <w:sz w:val="24"/>
          <w:szCs w:val="24"/>
        </w:rPr>
        <w:t>Aktivnost A100001: Financiranje službenika Šibensko-kninske županije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lastRenderedPageBreak/>
              <w:t>30.6.2023.</w:t>
            </w:r>
          </w:p>
        </w:tc>
        <w:tc>
          <w:tcPr>
            <w:tcW w:w="4698" w:type="dxa"/>
          </w:tcPr>
          <w:p>
            <w:pPr>
              <w:ind w:left="-108" w:right="-114"/>
              <w:jc w:val="center"/>
              <w:rPr>
                <w:b/>
                <w:bCs/>
                <w:color w:val="000000"/>
                <w:sz w:val="20"/>
                <w:szCs w:val="20"/>
              </w:rPr>
            </w:pPr>
            <w:r>
              <w:rPr>
                <w:b/>
                <w:bCs/>
                <w:color w:val="000000"/>
                <w:sz w:val="20"/>
                <w:szCs w:val="20"/>
              </w:rPr>
              <w:lastRenderedPageBreak/>
              <w:t xml:space="preserve">Indeks </w:t>
            </w:r>
          </w:p>
          <w:p>
            <w:pPr>
              <w:ind w:left="-108" w:right="-114"/>
              <w:jc w:val="center"/>
              <w:rPr>
                <w:b/>
                <w:bCs/>
                <w:color w:val="000000"/>
                <w:sz w:val="20"/>
                <w:szCs w:val="20"/>
              </w:rPr>
            </w:pPr>
            <w:r>
              <w:rPr>
                <w:b/>
                <w:bCs/>
                <w:color w:val="000000"/>
                <w:sz w:val="20"/>
                <w:szCs w:val="20"/>
              </w:rPr>
              <w:lastRenderedPageBreak/>
              <w:t>Izvršenje 30.6.2023./Izvorni plan 2023.</w:t>
            </w:r>
          </w:p>
        </w:tc>
      </w:tr>
      <w:tr>
        <w:tc>
          <w:tcPr>
            <w:tcW w:w="1239" w:type="dxa"/>
          </w:tcPr>
          <w:p>
            <w:pPr>
              <w:ind w:right="-114"/>
              <w:jc w:val="center"/>
              <w:rPr>
                <w:b/>
                <w:bCs/>
                <w:color w:val="000000"/>
                <w:sz w:val="20"/>
                <w:szCs w:val="20"/>
              </w:rPr>
            </w:pPr>
            <w:r>
              <w:rPr>
                <w:b/>
                <w:bCs/>
                <w:color w:val="000000"/>
                <w:sz w:val="20"/>
                <w:szCs w:val="20"/>
              </w:rPr>
              <w:lastRenderedPageBreak/>
              <w:t>A100001</w:t>
            </w:r>
          </w:p>
        </w:tc>
        <w:tc>
          <w:tcPr>
            <w:tcW w:w="1834" w:type="dxa"/>
          </w:tcPr>
          <w:p>
            <w:pPr>
              <w:ind w:left="-108" w:right="-114"/>
              <w:jc w:val="center"/>
              <w:rPr>
                <w:b/>
                <w:bCs/>
                <w:color w:val="000000"/>
                <w:sz w:val="20"/>
                <w:szCs w:val="20"/>
              </w:rPr>
            </w:pPr>
            <w:r>
              <w:rPr>
                <w:b/>
                <w:bCs/>
                <w:color w:val="000000"/>
                <w:sz w:val="20"/>
                <w:szCs w:val="20"/>
              </w:rPr>
              <w:t>26.500,00</w:t>
            </w:r>
          </w:p>
        </w:tc>
        <w:tc>
          <w:tcPr>
            <w:tcW w:w="1693" w:type="dxa"/>
          </w:tcPr>
          <w:p>
            <w:pPr>
              <w:ind w:left="-108" w:right="-114"/>
              <w:jc w:val="center"/>
              <w:rPr>
                <w:b/>
                <w:bCs/>
                <w:color w:val="000000"/>
                <w:sz w:val="20"/>
                <w:szCs w:val="20"/>
              </w:rPr>
            </w:pPr>
            <w:r>
              <w:rPr>
                <w:b/>
                <w:bCs/>
                <w:color w:val="000000"/>
                <w:sz w:val="20"/>
                <w:szCs w:val="20"/>
              </w:rPr>
              <w:t>5.257,70</w:t>
            </w:r>
          </w:p>
        </w:tc>
        <w:tc>
          <w:tcPr>
            <w:tcW w:w="4698" w:type="dxa"/>
          </w:tcPr>
          <w:p>
            <w:pPr>
              <w:ind w:left="-108" w:right="-114"/>
              <w:jc w:val="center"/>
              <w:rPr>
                <w:b/>
                <w:bCs/>
                <w:color w:val="000000"/>
                <w:sz w:val="20"/>
                <w:szCs w:val="20"/>
              </w:rPr>
            </w:pPr>
            <w:r>
              <w:rPr>
                <w:b/>
                <w:bCs/>
                <w:color w:val="000000"/>
                <w:sz w:val="20"/>
                <w:szCs w:val="20"/>
              </w:rPr>
              <w:t>19,84%</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Financiranje službenika Šibensko-kninske županije se odnosi na financiranje službenika prema Ugovoru o financiranje službenika iz Ureda za prostorno uređenje i gradnju.</w:t>
      </w:r>
    </w:p>
    <w:p>
      <w:pPr>
        <w:jc w:val="both"/>
        <w:rPr>
          <w:rFonts w:ascii="Times New Roman" w:hAnsi="Times New Roman" w:cs="Times New Roman"/>
          <w:b/>
          <w:sz w:val="24"/>
          <w:szCs w:val="24"/>
        </w:rPr>
      </w:pPr>
      <w:r>
        <w:rPr>
          <w:rFonts w:ascii="Times New Roman" w:hAnsi="Times New Roman" w:cs="Times New Roman"/>
          <w:b/>
          <w:sz w:val="24"/>
          <w:szCs w:val="24"/>
        </w:rPr>
        <w:t>Program 1001: Sufinanciranje kulturnih akcija i manifestacija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1001</w:t>
            </w:r>
          </w:p>
        </w:tc>
        <w:tc>
          <w:tcPr>
            <w:tcW w:w="1835" w:type="dxa"/>
          </w:tcPr>
          <w:p>
            <w:pPr>
              <w:ind w:left="-108" w:right="-114"/>
              <w:jc w:val="center"/>
              <w:rPr>
                <w:b/>
                <w:bCs/>
                <w:color w:val="000000"/>
                <w:sz w:val="20"/>
                <w:szCs w:val="20"/>
              </w:rPr>
            </w:pPr>
            <w:r>
              <w:rPr>
                <w:b/>
                <w:bCs/>
                <w:color w:val="000000"/>
                <w:sz w:val="20"/>
                <w:szCs w:val="20"/>
              </w:rPr>
              <w:t>19.900,00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18"/>
        </w:numPr>
        <w:jc w:val="both"/>
        <w:rPr>
          <w:rFonts w:ascii="Times New Roman" w:hAnsi="Times New Roman" w:cs="Times New Roman"/>
          <w:b/>
          <w:sz w:val="24"/>
          <w:szCs w:val="24"/>
        </w:rPr>
      </w:pPr>
      <w:r>
        <w:rPr>
          <w:rFonts w:ascii="Times New Roman" w:hAnsi="Times New Roman" w:cs="Times New Roman"/>
          <w:b/>
          <w:sz w:val="24"/>
          <w:szCs w:val="24"/>
        </w:rPr>
        <w:t>Aktivnost A100001: Organizacija proslave dana Općine Bilice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19.900,00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Organizacija proslave dana Općine Bilice odnose se na troškove vezane uz organizaciju dana, koji spada 14.08.</w:t>
      </w:r>
    </w:p>
    <w:p>
      <w:pPr>
        <w:jc w:val="both"/>
        <w:rPr>
          <w:rFonts w:ascii="Times New Roman" w:hAnsi="Times New Roman" w:cs="Times New Roman"/>
          <w:b/>
          <w:sz w:val="24"/>
          <w:szCs w:val="24"/>
        </w:rPr>
      </w:pPr>
      <w:r>
        <w:rPr>
          <w:rFonts w:ascii="Times New Roman" w:hAnsi="Times New Roman" w:cs="Times New Roman"/>
          <w:b/>
          <w:sz w:val="24"/>
          <w:szCs w:val="24"/>
        </w:rPr>
        <w:t xml:space="preserve">Program 1002: Ostale kulturne djelatnosti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1002</w:t>
            </w:r>
          </w:p>
        </w:tc>
        <w:tc>
          <w:tcPr>
            <w:tcW w:w="1835"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1.000,00</w:t>
            </w:r>
          </w:p>
        </w:tc>
        <w:tc>
          <w:tcPr>
            <w:tcW w:w="4697" w:type="dxa"/>
          </w:tcPr>
          <w:p>
            <w:pPr>
              <w:ind w:left="-108" w:right="-114"/>
              <w:jc w:val="center"/>
              <w:rPr>
                <w:b/>
                <w:bCs/>
                <w:color w:val="000000"/>
                <w:sz w:val="20"/>
                <w:szCs w:val="20"/>
              </w:rPr>
            </w:pPr>
            <w:r>
              <w:rPr>
                <w:b/>
                <w:bCs/>
                <w:color w:val="000000"/>
                <w:sz w:val="20"/>
                <w:szCs w:val="20"/>
              </w:rPr>
              <w:t>37,04%</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19"/>
        </w:numPr>
        <w:jc w:val="both"/>
        <w:rPr>
          <w:rFonts w:ascii="Times New Roman" w:hAnsi="Times New Roman" w:cs="Times New Roman"/>
          <w:b/>
          <w:sz w:val="24"/>
          <w:szCs w:val="24"/>
        </w:rPr>
      </w:pPr>
      <w:r>
        <w:rPr>
          <w:rFonts w:ascii="Times New Roman" w:hAnsi="Times New Roman" w:cs="Times New Roman"/>
          <w:b/>
          <w:sz w:val="24"/>
          <w:szCs w:val="24"/>
        </w:rPr>
        <w:t>Aktivnost A100001: Pomoć kulturnim udrugama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1.000,00</w:t>
            </w:r>
          </w:p>
        </w:tc>
        <w:tc>
          <w:tcPr>
            <w:tcW w:w="4698" w:type="dxa"/>
          </w:tcPr>
          <w:p>
            <w:pPr>
              <w:ind w:left="-108" w:right="-114"/>
              <w:jc w:val="center"/>
              <w:rPr>
                <w:b/>
                <w:bCs/>
                <w:color w:val="000000"/>
                <w:sz w:val="20"/>
                <w:szCs w:val="20"/>
              </w:rPr>
            </w:pPr>
            <w:r>
              <w:rPr>
                <w:b/>
                <w:bCs/>
                <w:color w:val="000000"/>
                <w:sz w:val="20"/>
                <w:szCs w:val="20"/>
              </w:rPr>
              <w:t>37,04%</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Pomoć kulturnim udrugama se odnosi na isplatu Šibenskoj glazbi na temelju odluke Općinskog vijeća.</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Program 1001: Razvoj sporta i rekreacije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1001</w:t>
            </w:r>
          </w:p>
        </w:tc>
        <w:tc>
          <w:tcPr>
            <w:tcW w:w="1835" w:type="dxa"/>
          </w:tcPr>
          <w:p>
            <w:pPr>
              <w:ind w:left="-108" w:right="-114"/>
              <w:jc w:val="center"/>
              <w:rPr>
                <w:b/>
                <w:bCs/>
                <w:color w:val="000000"/>
                <w:sz w:val="20"/>
                <w:szCs w:val="20"/>
              </w:rPr>
            </w:pPr>
            <w:r>
              <w:rPr>
                <w:b/>
                <w:bCs/>
                <w:color w:val="000000"/>
                <w:sz w:val="20"/>
                <w:szCs w:val="20"/>
              </w:rPr>
              <w:t>7.000,00</w:t>
            </w:r>
          </w:p>
        </w:tc>
        <w:tc>
          <w:tcPr>
            <w:tcW w:w="1693" w:type="dxa"/>
          </w:tcPr>
          <w:p>
            <w:pPr>
              <w:ind w:left="-108" w:right="-114"/>
              <w:jc w:val="center"/>
              <w:rPr>
                <w:b/>
                <w:bCs/>
                <w:color w:val="000000"/>
                <w:sz w:val="20"/>
                <w:szCs w:val="20"/>
              </w:rPr>
            </w:pPr>
            <w:r>
              <w:rPr>
                <w:b/>
                <w:bCs/>
                <w:color w:val="000000"/>
                <w:sz w:val="20"/>
                <w:szCs w:val="20"/>
              </w:rPr>
              <w:t>6.196,32</w:t>
            </w:r>
          </w:p>
        </w:tc>
        <w:tc>
          <w:tcPr>
            <w:tcW w:w="4697" w:type="dxa"/>
          </w:tcPr>
          <w:p>
            <w:pPr>
              <w:ind w:left="-108" w:right="-114"/>
              <w:jc w:val="center"/>
              <w:rPr>
                <w:b/>
                <w:bCs/>
                <w:color w:val="000000"/>
                <w:sz w:val="20"/>
                <w:szCs w:val="20"/>
              </w:rPr>
            </w:pPr>
            <w:r>
              <w:rPr>
                <w:b/>
                <w:bCs/>
                <w:color w:val="000000"/>
                <w:sz w:val="20"/>
                <w:szCs w:val="20"/>
              </w:rPr>
              <w:t>88,52%</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20"/>
        </w:numPr>
        <w:jc w:val="both"/>
        <w:rPr>
          <w:rFonts w:ascii="Times New Roman" w:hAnsi="Times New Roman" w:cs="Times New Roman"/>
          <w:b/>
          <w:sz w:val="24"/>
          <w:szCs w:val="24"/>
        </w:rPr>
      </w:pPr>
      <w:r>
        <w:rPr>
          <w:rFonts w:ascii="Times New Roman" w:hAnsi="Times New Roman" w:cs="Times New Roman"/>
          <w:b/>
          <w:sz w:val="24"/>
          <w:szCs w:val="24"/>
        </w:rPr>
        <w:t xml:space="preserve">Aktivnost A100001: Športska natjecanja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2.700,00</w:t>
            </w:r>
          </w:p>
        </w:tc>
        <w:tc>
          <w:tcPr>
            <w:tcW w:w="4698" w:type="dxa"/>
          </w:tcPr>
          <w:p>
            <w:pPr>
              <w:ind w:left="-108" w:right="-114"/>
              <w:jc w:val="center"/>
              <w:rPr>
                <w:b/>
                <w:bCs/>
                <w:color w:val="000000"/>
                <w:sz w:val="20"/>
                <w:szCs w:val="20"/>
              </w:rPr>
            </w:pPr>
            <w:r>
              <w:rPr>
                <w:b/>
                <w:bCs/>
                <w:color w:val="000000"/>
                <w:sz w:val="20"/>
                <w:szCs w:val="20"/>
              </w:rPr>
              <w:t>100,00%</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Športska natjecanja odnosi se na dodjelu sredstava na temelju Javnog poziva za subvencioniranje projekta razvoja i unapređenje športa za 2023.</w:t>
      </w:r>
    </w:p>
    <w:p>
      <w:pPr>
        <w:pStyle w:val="Odlomakpopisa"/>
        <w:numPr>
          <w:ilvl w:val="0"/>
          <w:numId w:val="20"/>
        </w:numPr>
        <w:jc w:val="both"/>
        <w:rPr>
          <w:rFonts w:ascii="Times New Roman" w:hAnsi="Times New Roman" w:cs="Times New Roman"/>
          <w:b/>
          <w:sz w:val="24"/>
          <w:szCs w:val="24"/>
        </w:rPr>
      </w:pPr>
      <w:r>
        <w:rPr>
          <w:rFonts w:ascii="Times New Roman" w:hAnsi="Times New Roman" w:cs="Times New Roman"/>
          <w:b/>
          <w:sz w:val="24"/>
          <w:szCs w:val="24"/>
        </w:rPr>
        <w:t>Aktivnost A100002: Pomoć športskim društvima i udrugama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2.700,00</w:t>
            </w:r>
          </w:p>
        </w:tc>
        <w:tc>
          <w:tcPr>
            <w:tcW w:w="4698" w:type="dxa"/>
          </w:tcPr>
          <w:p>
            <w:pPr>
              <w:ind w:left="-108" w:right="-114"/>
              <w:jc w:val="center"/>
              <w:rPr>
                <w:b/>
                <w:bCs/>
                <w:color w:val="000000"/>
                <w:sz w:val="20"/>
                <w:szCs w:val="20"/>
              </w:rPr>
            </w:pPr>
            <w:r>
              <w:rPr>
                <w:b/>
                <w:bCs/>
                <w:color w:val="000000"/>
                <w:sz w:val="20"/>
                <w:szCs w:val="20"/>
              </w:rPr>
              <w:t>100,00%</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A100002: Pomoć športskim društvima i udrugama odnosi se na dodjelu sredstava na temelju Javnog poziva za subvencioniranje projekta razvoja i unapređenje športa za 2023.</w:t>
      </w:r>
    </w:p>
    <w:p>
      <w:pPr>
        <w:pStyle w:val="Odlomakpopisa"/>
        <w:numPr>
          <w:ilvl w:val="0"/>
          <w:numId w:val="20"/>
        </w:numPr>
        <w:jc w:val="both"/>
        <w:rPr>
          <w:rFonts w:ascii="Times New Roman" w:hAnsi="Times New Roman" w:cs="Times New Roman"/>
          <w:b/>
          <w:sz w:val="24"/>
          <w:szCs w:val="24"/>
        </w:rPr>
      </w:pPr>
      <w:r>
        <w:rPr>
          <w:rFonts w:ascii="Times New Roman" w:hAnsi="Times New Roman" w:cs="Times New Roman"/>
          <w:b/>
          <w:sz w:val="24"/>
          <w:szCs w:val="24"/>
        </w:rPr>
        <w:t>Aktivnost A100003: Medicinska gimnastika za žene 50+</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A100003</w:t>
            </w:r>
          </w:p>
        </w:tc>
        <w:tc>
          <w:tcPr>
            <w:tcW w:w="1834" w:type="dxa"/>
          </w:tcPr>
          <w:p>
            <w:pPr>
              <w:ind w:left="-108" w:right="-114"/>
              <w:jc w:val="center"/>
              <w:rPr>
                <w:b/>
                <w:bCs/>
                <w:color w:val="000000"/>
                <w:sz w:val="20"/>
                <w:szCs w:val="20"/>
              </w:rPr>
            </w:pPr>
            <w:r>
              <w:rPr>
                <w:b/>
                <w:bCs/>
                <w:color w:val="000000"/>
                <w:sz w:val="20"/>
                <w:szCs w:val="20"/>
              </w:rPr>
              <w:t>1.600,00</w:t>
            </w:r>
          </w:p>
        </w:tc>
        <w:tc>
          <w:tcPr>
            <w:tcW w:w="1693" w:type="dxa"/>
          </w:tcPr>
          <w:p>
            <w:pPr>
              <w:ind w:left="-108" w:right="-114"/>
              <w:jc w:val="center"/>
              <w:rPr>
                <w:b/>
                <w:bCs/>
                <w:color w:val="000000"/>
                <w:sz w:val="20"/>
                <w:szCs w:val="20"/>
              </w:rPr>
            </w:pPr>
            <w:r>
              <w:rPr>
                <w:b/>
                <w:bCs/>
                <w:color w:val="000000"/>
                <w:sz w:val="20"/>
                <w:szCs w:val="20"/>
              </w:rPr>
              <w:t>796,32</w:t>
            </w:r>
          </w:p>
        </w:tc>
        <w:tc>
          <w:tcPr>
            <w:tcW w:w="4698" w:type="dxa"/>
          </w:tcPr>
          <w:p>
            <w:pPr>
              <w:ind w:left="-108" w:right="-114"/>
              <w:jc w:val="center"/>
              <w:rPr>
                <w:b/>
                <w:bCs/>
                <w:color w:val="000000"/>
                <w:sz w:val="20"/>
                <w:szCs w:val="20"/>
              </w:rPr>
            </w:pPr>
            <w:r>
              <w:rPr>
                <w:b/>
                <w:bCs/>
                <w:color w:val="000000"/>
                <w:sz w:val="20"/>
                <w:szCs w:val="20"/>
              </w:rPr>
              <w:t>49,77%</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A100003: Medicinska gimnastika za žene 50+ odnosi se na članarinu koja se plaća za žene iznad 50+.</w:t>
      </w: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 xml:space="preserve">Program 1001: Financiranje rada JVP Šibenik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1001</w:t>
            </w:r>
          </w:p>
        </w:tc>
        <w:tc>
          <w:tcPr>
            <w:tcW w:w="1835" w:type="dxa"/>
          </w:tcPr>
          <w:p>
            <w:pPr>
              <w:ind w:left="-108" w:right="-114"/>
              <w:jc w:val="center"/>
              <w:rPr>
                <w:b/>
                <w:bCs/>
                <w:color w:val="000000"/>
                <w:sz w:val="20"/>
                <w:szCs w:val="20"/>
              </w:rPr>
            </w:pPr>
            <w:r>
              <w:rPr>
                <w:b/>
                <w:bCs/>
                <w:color w:val="000000"/>
                <w:sz w:val="20"/>
                <w:szCs w:val="20"/>
              </w:rPr>
              <w:t>4.000,00</w:t>
            </w:r>
          </w:p>
        </w:tc>
        <w:tc>
          <w:tcPr>
            <w:tcW w:w="1693" w:type="dxa"/>
          </w:tcPr>
          <w:p>
            <w:pPr>
              <w:ind w:left="-108" w:right="-114"/>
              <w:jc w:val="center"/>
              <w:rPr>
                <w:b/>
                <w:bCs/>
                <w:color w:val="000000"/>
                <w:sz w:val="20"/>
                <w:szCs w:val="20"/>
              </w:rPr>
            </w:pPr>
            <w:r>
              <w:rPr>
                <w:b/>
                <w:bCs/>
                <w:color w:val="000000"/>
                <w:sz w:val="20"/>
                <w:szCs w:val="20"/>
              </w:rPr>
              <w:t>00,00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21"/>
        </w:numPr>
        <w:jc w:val="both"/>
        <w:rPr>
          <w:rFonts w:ascii="Times New Roman" w:hAnsi="Times New Roman" w:cs="Times New Roman"/>
          <w:b/>
          <w:sz w:val="24"/>
          <w:szCs w:val="24"/>
        </w:rPr>
      </w:pPr>
      <w:r>
        <w:rPr>
          <w:rFonts w:ascii="Times New Roman" w:hAnsi="Times New Roman" w:cs="Times New Roman"/>
          <w:b/>
          <w:sz w:val="24"/>
          <w:szCs w:val="24"/>
        </w:rPr>
        <w:t>Aktivnost A100001: Financiranje rada JVP Šibenik</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lastRenderedPageBreak/>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4.000,00</w:t>
            </w:r>
          </w:p>
        </w:tc>
        <w:tc>
          <w:tcPr>
            <w:tcW w:w="1693" w:type="dxa"/>
          </w:tcPr>
          <w:p>
            <w:pPr>
              <w:ind w:left="-108" w:right="-114"/>
              <w:jc w:val="center"/>
              <w:rPr>
                <w:b/>
                <w:bCs/>
                <w:color w:val="000000"/>
                <w:sz w:val="20"/>
                <w:szCs w:val="20"/>
              </w:rPr>
            </w:pPr>
            <w:r>
              <w:rPr>
                <w:b/>
                <w:bCs/>
                <w:color w:val="000000"/>
                <w:sz w:val="20"/>
                <w:szCs w:val="20"/>
              </w:rPr>
              <w:t>00,00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1002: Financiranje rada DVD Bilice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1002</w:t>
            </w:r>
          </w:p>
        </w:tc>
        <w:tc>
          <w:tcPr>
            <w:tcW w:w="1835" w:type="dxa"/>
          </w:tcPr>
          <w:p>
            <w:pPr>
              <w:ind w:left="-108" w:right="-114"/>
              <w:jc w:val="center"/>
              <w:rPr>
                <w:b/>
                <w:bCs/>
                <w:color w:val="000000"/>
                <w:sz w:val="20"/>
                <w:szCs w:val="20"/>
              </w:rPr>
            </w:pPr>
            <w:r>
              <w:rPr>
                <w:b/>
                <w:bCs/>
                <w:color w:val="000000"/>
                <w:sz w:val="20"/>
                <w:szCs w:val="20"/>
              </w:rPr>
              <w:t>19.900,00</w:t>
            </w:r>
          </w:p>
        </w:tc>
        <w:tc>
          <w:tcPr>
            <w:tcW w:w="1693" w:type="dxa"/>
          </w:tcPr>
          <w:p>
            <w:pPr>
              <w:ind w:left="-108" w:right="-114"/>
              <w:jc w:val="center"/>
              <w:rPr>
                <w:b/>
                <w:bCs/>
                <w:color w:val="000000"/>
                <w:sz w:val="20"/>
                <w:szCs w:val="20"/>
              </w:rPr>
            </w:pPr>
            <w:r>
              <w:rPr>
                <w:b/>
                <w:bCs/>
                <w:color w:val="000000"/>
                <w:sz w:val="20"/>
                <w:szCs w:val="20"/>
              </w:rPr>
              <w:t>13.951,40</w:t>
            </w:r>
          </w:p>
        </w:tc>
        <w:tc>
          <w:tcPr>
            <w:tcW w:w="4697" w:type="dxa"/>
          </w:tcPr>
          <w:p>
            <w:pPr>
              <w:ind w:left="-108" w:right="-114"/>
              <w:jc w:val="center"/>
              <w:rPr>
                <w:b/>
                <w:bCs/>
                <w:color w:val="000000"/>
                <w:sz w:val="20"/>
                <w:szCs w:val="20"/>
              </w:rPr>
            </w:pPr>
            <w:r>
              <w:rPr>
                <w:b/>
                <w:bCs/>
                <w:color w:val="000000"/>
                <w:sz w:val="20"/>
                <w:szCs w:val="20"/>
              </w:rPr>
              <w:t>70,11%</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22"/>
        </w:numPr>
        <w:jc w:val="both"/>
        <w:rPr>
          <w:rFonts w:ascii="Times New Roman" w:hAnsi="Times New Roman" w:cs="Times New Roman"/>
          <w:b/>
          <w:sz w:val="24"/>
          <w:szCs w:val="24"/>
        </w:rPr>
      </w:pPr>
      <w:r>
        <w:rPr>
          <w:rFonts w:ascii="Times New Roman" w:hAnsi="Times New Roman" w:cs="Times New Roman"/>
          <w:b/>
          <w:sz w:val="24"/>
          <w:szCs w:val="24"/>
        </w:rPr>
        <w:t>Aktivnost A100002: Financiranje rada DVD Bilice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19.900,00</w:t>
            </w:r>
          </w:p>
        </w:tc>
        <w:tc>
          <w:tcPr>
            <w:tcW w:w="1693" w:type="dxa"/>
          </w:tcPr>
          <w:p>
            <w:pPr>
              <w:ind w:left="-108" w:right="-114"/>
              <w:jc w:val="center"/>
              <w:rPr>
                <w:b/>
                <w:bCs/>
                <w:color w:val="000000"/>
                <w:sz w:val="20"/>
                <w:szCs w:val="20"/>
              </w:rPr>
            </w:pPr>
            <w:r>
              <w:rPr>
                <w:b/>
                <w:bCs/>
                <w:color w:val="000000"/>
                <w:sz w:val="20"/>
                <w:szCs w:val="20"/>
              </w:rPr>
              <w:t>13.951,40</w:t>
            </w:r>
          </w:p>
        </w:tc>
        <w:tc>
          <w:tcPr>
            <w:tcW w:w="4698" w:type="dxa"/>
          </w:tcPr>
          <w:p>
            <w:pPr>
              <w:ind w:left="-108" w:right="-114"/>
              <w:jc w:val="center"/>
              <w:rPr>
                <w:b/>
                <w:bCs/>
                <w:color w:val="000000"/>
                <w:sz w:val="20"/>
                <w:szCs w:val="20"/>
              </w:rPr>
            </w:pPr>
            <w:r>
              <w:rPr>
                <w:b/>
                <w:bCs/>
                <w:color w:val="000000"/>
                <w:sz w:val="20"/>
                <w:szCs w:val="20"/>
              </w:rPr>
              <w:t>70,11%</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1002: Jednokratne novčane pomoći</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1002</w:t>
            </w:r>
          </w:p>
        </w:tc>
        <w:tc>
          <w:tcPr>
            <w:tcW w:w="1835" w:type="dxa"/>
          </w:tcPr>
          <w:p>
            <w:pPr>
              <w:ind w:left="-108" w:right="-114"/>
              <w:jc w:val="center"/>
              <w:rPr>
                <w:b/>
                <w:bCs/>
                <w:color w:val="000000"/>
                <w:sz w:val="20"/>
                <w:szCs w:val="20"/>
              </w:rPr>
            </w:pPr>
            <w:r>
              <w:rPr>
                <w:b/>
                <w:bCs/>
                <w:color w:val="000000"/>
                <w:sz w:val="20"/>
                <w:szCs w:val="20"/>
              </w:rPr>
              <w:t>30.500,00</w:t>
            </w:r>
          </w:p>
        </w:tc>
        <w:tc>
          <w:tcPr>
            <w:tcW w:w="1693" w:type="dxa"/>
          </w:tcPr>
          <w:p>
            <w:pPr>
              <w:ind w:left="-108" w:right="-114"/>
              <w:jc w:val="center"/>
              <w:rPr>
                <w:b/>
                <w:bCs/>
                <w:color w:val="000000"/>
                <w:sz w:val="20"/>
                <w:szCs w:val="20"/>
              </w:rPr>
            </w:pPr>
            <w:r>
              <w:rPr>
                <w:b/>
                <w:bCs/>
                <w:color w:val="000000"/>
                <w:sz w:val="20"/>
                <w:szCs w:val="20"/>
              </w:rPr>
              <w:t>11.691,62</w:t>
            </w:r>
          </w:p>
        </w:tc>
        <w:tc>
          <w:tcPr>
            <w:tcW w:w="4697" w:type="dxa"/>
          </w:tcPr>
          <w:p>
            <w:pPr>
              <w:ind w:left="-108" w:right="-114"/>
              <w:jc w:val="center"/>
              <w:rPr>
                <w:b/>
                <w:bCs/>
                <w:color w:val="000000"/>
                <w:sz w:val="20"/>
                <w:szCs w:val="20"/>
              </w:rPr>
            </w:pPr>
            <w:r>
              <w:rPr>
                <w:b/>
                <w:bCs/>
                <w:color w:val="000000"/>
                <w:sz w:val="20"/>
                <w:szCs w:val="20"/>
              </w:rPr>
              <w:t>38,33%</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23"/>
        </w:numPr>
        <w:jc w:val="both"/>
        <w:rPr>
          <w:rFonts w:ascii="Times New Roman" w:hAnsi="Times New Roman" w:cs="Times New Roman"/>
          <w:b/>
          <w:sz w:val="24"/>
          <w:szCs w:val="24"/>
        </w:rPr>
      </w:pPr>
      <w:r>
        <w:rPr>
          <w:rFonts w:ascii="Times New Roman" w:hAnsi="Times New Roman" w:cs="Times New Roman"/>
          <w:b/>
          <w:sz w:val="24"/>
          <w:szCs w:val="24"/>
        </w:rPr>
        <w:t>Aktivnost A100001: Jednokratne novčane pomoći</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30.500,00</w:t>
            </w:r>
          </w:p>
        </w:tc>
        <w:tc>
          <w:tcPr>
            <w:tcW w:w="1693" w:type="dxa"/>
          </w:tcPr>
          <w:p>
            <w:pPr>
              <w:ind w:left="-108" w:right="-114"/>
              <w:jc w:val="center"/>
              <w:rPr>
                <w:b/>
                <w:bCs/>
                <w:color w:val="000000"/>
                <w:sz w:val="20"/>
                <w:szCs w:val="20"/>
              </w:rPr>
            </w:pPr>
            <w:r>
              <w:rPr>
                <w:b/>
                <w:bCs/>
                <w:color w:val="000000"/>
                <w:sz w:val="20"/>
                <w:szCs w:val="20"/>
              </w:rPr>
              <w:t>11.691,62</w:t>
            </w:r>
          </w:p>
        </w:tc>
        <w:tc>
          <w:tcPr>
            <w:tcW w:w="4698" w:type="dxa"/>
          </w:tcPr>
          <w:p>
            <w:pPr>
              <w:ind w:left="-108" w:right="-114"/>
              <w:jc w:val="center"/>
              <w:rPr>
                <w:b/>
                <w:bCs/>
                <w:color w:val="000000"/>
                <w:sz w:val="20"/>
                <w:szCs w:val="20"/>
              </w:rPr>
            </w:pPr>
            <w:r>
              <w:rPr>
                <w:b/>
                <w:bCs/>
                <w:color w:val="000000"/>
                <w:sz w:val="20"/>
                <w:szCs w:val="20"/>
              </w:rPr>
              <w:t>38,33%</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Jednokratne novčane pomoći odnose se na pomoći za novorođeno dijete, novosklopljeni brak i novčane pomoći za bolest.</w:t>
      </w:r>
    </w:p>
    <w:p>
      <w:pPr>
        <w:jc w:val="both"/>
        <w:rPr>
          <w:rFonts w:ascii="Times New Roman" w:hAnsi="Times New Roman" w:cs="Times New Roman"/>
          <w:b/>
          <w:sz w:val="24"/>
          <w:szCs w:val="24"/>
        </w:rPr>
      </w:pPr>
      <w:r>
        <w:rPr>
          <w:rFonts w:ascii="Times New Roman" w:hAnsi="Times New Roman" w:cs="Times New Roman"/>
          <w:b/>
          <w:sz w:val="24"/>
          <w:szCs w:val="24"/>
        </w:rPr>
        <w:t>Program 1003: Podmirenje troškova stanovanja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1003</w:t>
            </w:r>
          </w:p>
        </w:tc>
        <w:tc>
          <w:tcPr>
            <w:tcW w:w="1835" w:type="dxa"/>
          </w:tcPr>
          <w:p>
            <w:pPr>
              <w:ind w:left="-108" w:right="-114"/>
              <w:jc w:val="center"/>
              <w:rPr>
                <w:b/>
                <w:bCs/>
                <w:color w:val="000000"/>
                <w:sz w:val="20"/>
                <w:szCs w:val="20"/>
              </w:rPr>
            </w:pPr>
            <w:r>
              <w:rPr>
                <w:b/>
                <w:bCs/>
                <w:color w:val="000000"/>
                <w:sz w:val="20"/>
                <w:szCs w:val="20"/>
              </w:rPr>
              <w:t>9.600,00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Program se sastoji od sljedeće aktivnosti</w:t>
      </w:r>
    </w:p>
    <w:p>
      <w:pPr>
        <w:pStyle w:val="Odlomakpopisa"/>
        <w:numPr>
          <w:ilvl w:val="0"/>
          <w:numId w:val="24"/>
        </w:numPr>
        <w:jc w:val="both"/>
        <w:rPr>
          <w:rFonts w:ascii="Times New Roman" w:hAnsi="Times New Roman" w:cs="Times New Roman"/>
          <w:b/>
          <w:sz w:val="24"/>
          <w:szCs w:val="24"/>
        </w:rPr>
      </w:pPr>
      <w:r>
        <w:rPr>
          <w:rFonts w:ascii="Times New Roman" w:hAnsi="Times New Roman" w:cs="Times New Roman"/>
          <w:b/>
          <w:sz w:val="24"/>
          <w:szCs w:val="24"/>
        </w:rPr>
        <w:t>Aktivnost A100001: Podmirenje troškova stanovanja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9.600,00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Podmirenje troškova stanovanja odnosi se na troškove za osobe koje imaju zajamčenu minimalnu naknadu.</w:t>
      </w:r>
    </w:p>
    <w:p>
      <w:pPr>
        <w:jc w:val="both"/>
        <w:rPr>
          <w:rFonts w:ascii="Times New Roman" w:hAnsi="Times New Roman" w:cs="Times New Roman"/>
          <w:b/>
          <w:sz w:val="24"/>
          <w:szCs w:val="24"/>
        </w:rPr>
      </w:pPr>
      <w:r>
        <w:rPr>
          <w:rFonts w:ascii="Times New Roman" w:hAnsi="Times New Roman" w:cs="Times New Roman"/>
          <w:b/>
          <w:sz w:val="24"/>
          <w:szCs w:val="24"/>
        </w:rPr>
        <w:t>Program 1006: Pomoć za rad ambulante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1006</w:t>
            </w:r>
          </w:p>
        </w:tc>
        <w:tc>
          <w:tcPr>
            <w:tcW w:w="1835" w:type="dxa"/>
          </w:tcPr>
          <w:p>
            <w:pPr>
              <w:ind w:left="-108" w:right="-114"/>
              <w:jc w:val="center"/>
              <w:rPr>
                <w:b/>
                <w:bCs/>
                <w:color w:val="000000"/>
                <w:sz w:val="20"/>
                <w:szCs w:val="20"/>
              </w:rPr>
            </w:pPr>
            <w:r>
              <w:rPr>
                <w:b/>
                <w:bCs/>
                <w:color w:val="000000"/>
                <w:sz w:val="20"/>
                <w:szCs w:val="20"/>
              </w:rPr>
              <w:t>9.300,00</w:t>
            </w:r>
          </w:p>
        </w:tc>
        <w:tc>
          <w:tcPr>
            <w:tcW w:w="1693" w:type="dxa"/>
          </w:tcPr>
          <w:p>
            <w:pPr>
              <w:ind w:left="-108" w:right="-114"/>
              <w:jc w:val="center"/>
              <w:rPr>
                <w:b/>
                <w:bCs/>
                <w:color w:val="000000"/>
                <w:sz w:val="20"/>
                <w:szCs w:val="20"/>
              </w:rPr>
            </w:pPr>
            <w:r>
              <w:rPr>
                <w:b/>
                <w:bCs/>
                <w:color w:val="000000"/>
                <w:sz w:val="20"/>
                <w:szCs w:val="20"/>
              </w:rPr>
              <w:t>3.609,12</w:t>
            </w:r>
          </w:p>
        </w:tc>
        <w:tc>
          <w:tcPr>
            <w:tcW w:w="4697" w:type="dxa"/>
          </w:tcPr>
          <w:p>
            <w:pPr>
              <w:ind w:left="-108" w:right="-114"/>
              <w:jc w:val="center"/>
              <w:rPr>
                <w:b/>
                <w:bCs/>
                <w:color w:val="000000"/>
                <w:sz w:val="20"/>
                <w:szCs w:val="20"/>
              </w:rPr>
            </w:pPr>
            <w:r>
              <w:rPr>
                <w:b/>
                <w:bCs/>
                <w:color w:val="000000"/>
                <w:sz w:val="20"/>
                <w:szCs w:val="20"/>
              </w:rPr>
              <w:t>38,81%</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25"/>
        </w:numPr>
        <w:jc w:val="both"/>
        <w:rPr>
          <w:rFonts w:ascii="Times New Roman" w:hAnsi="Times New Roman" w:cs="Times New Roman"/>
          <w:b/>
          <w:sz w:val="24"/>
          <w:szCs w:val="24"/>
        </w:rPr>
      </w:pPr>
      <w:r>
        <w:rPr>
          <w:rFonts w:ascii="Times New Roman" w:hAnsi="Times New Roman" w:cs="Times New Roman"/>
          <w:b/>
          <w:sz w:val="24"/>
          <w:szCs w:val="24"/>
        </w:rPr>
        <w:t>Aktivnost A100001: Ambulanta - najamnina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8.000,00</w:t>
            </w:r>
          </w:p>
        </w:tc>
        <w:tc>
          <w:tcPr>
            <w:tcW w:w="1693" w:type="dxa"/>
          </w:tcPr>
          <w:p>
            <w:pPr>
              <w:ind w:left="-108" w:right="-114"/>
              <w:jc w:val="center"/>
              <w:rPr>
                <w:b/>
                <w:bCs/>
                <w:color w:val="000000"/>
                <w:sz w:val="20"/>
                <w:szCs w:val="20"/>
              </w:rPr>
            </w:pPr>
            <w:r>
              <w:rPr>
                <w:b/>
                <w:bCs/>
                <w:color w:val="000000"/>
                <w:sz w:val="20"/>
                <w:szCs w:val="20"/>
              </w:rPr>
              <w:t>3.609,12</w:t>
            </w:r>
          </w:p>
        </w:tc>
        <w:tc>
          <w:tcPr>
            <w:tcW w:w="4698" w:type="dxa"/>
          </w:tcPr>
          <w:p>
            <w:pPr>
              <w:ind w:left="-108" w:right="-114"/>
              <w:jc w:val="center"/>
              <w:rPr>
                <w:b/>
                <w:bCs/>
                <w:color w:val="000000"/>
                <w:sz w:val="20"/>
                <w:szCs w:val="20"/>
              </w:rPr>
            </w:pPr>
            <w:r>
              <w:rPr>
                <w:b/>
                <w:bCs/>
                <w:color w:val="000000"/>
                <w:sz w:val="20"/>
                <w:szCs w:val="20"/>
              </w:rPr>
              <w:t>45,11%</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Ambulanta odnosi se na plaćanje najma prostora ambulante.</w:t>
      </w:r>
    </w:p>
    <w:p>
      <w:pPr>
        <w:pStyle w:val="Odlomakpopisa"/>
        <w:numPr>
          <w:ilvl w:val="0"/>
          <w:numId w:val="25"/>
        </w:numPr>
        <w:jc w:val="both"/>
        <w:rPr>
          <w:rFonts w:ascii="Times New Roman" w:hAnsi="Times New Roman" w:cs="Times New Roman"/>
          <w:b/>
          <w:sz w:val="24"/>
          <w:szCs w:val="24"/>
        </w:rPr>
      </w:pPr>
      <w:r>
        <w:rPr>
          <w:rFonts w:ascii="Times New Roman" w:hAnsi="Times New Roman" w:cs="Times New Roman"/>
          <w:b/>
          <w:sz w:val="24"/>
          <w:szCs w:val="24"/>
        </w:rPr>
        <w:t>Aktivnost A100002: Sufinanciranje djelatnosti hitne medicine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1.300,00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1007: Sredstva za nabavu školske opreme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1007</w:t>
            </w:r>
          </w:p>
        </w:tc>
        <w:tc>
          <w:tcPr>
            <w:tcW w:w="1835" w:type="dxa"/>
          </w:tcPr>
          <w:p>
            <w:pPr>
              <w:ind w:left="-108" w:right="-114"/>
              <w:jc w:val="center"/>
              <w:rPr>
                <w:b/>
                <w:bCs/>
                <w:color w:val="000000"/>
                <w:sz w:val="20"/>
                <w:szCs w:val="20"/>
              </w:rPr>
            </w:pPr>
            <w:r>
              <w:rPr>
                <w:b/>
                <w:bCs/>
                <w:color w:val="000000"/>
                <w:sz w:val="20"/>
                <w:szCs w:val="20"/>
              </w:rPr>
              <w:t>2.000,00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26"/>
        </w:numPr>
        <w:jc w:val="both"/>
        <w:rPr>
          <w:rFonts w:ascii="Times New Roman" w:hAnsi="Times New Roman" w:cs="Times New Roman"/>
          <w:b/>
          <w:sz w:val="24"/>
          <w:szCs w:val="24"/>
        </w:rPr>
      </w:pPr>
      <w:r>
        <w:rPr>
          <w:rFonts w:ascii="Times New Roman" w:hAnsi="Times New Roman" w:cs="Times New Roman"/>
          <w:b/>
          <w:sz w:val="24"/>
          <w:szCs w:val="24"/>
        </w:rPr>
        <w:t>Aktivnost A100001: Sredstva za nabavu školske opreme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lastRenderedPageBreak/>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2.000,00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Sredstva za nabavu školske opreme odnosi se na financiranje radnih bilježnica za 1. razred Područne škole Jurja Dalmatinca Bilice.</w:t>
      </w:r>
    </w:p>
    <w:p>
      <w:pPr>
        <w:jc w:val="both"/>
        <w:rPr>
          <w:rFonts w:ascii="Times New Roman" w:hAnsi="Times New Roman" w:cs="Times New Roman"/>
          <w:b/>
          <w:sz w:val="24"/>
          <w:szCs w:val="24"/>
        </w:rPr>
      </w:pPr>
      <w:r>
        <w:rPr>
          <w:rFonts w:ascii="Times New Roman" w:hAnsi="Times New Roman" w:cs="Times New Roman"/>
          <w:b/>
          <w:sz w:val="24"/>
          <w:szCs w:val="24"/>
        </w:rPr>
        <w:t>Program 1008: Tekuće donacije vjerskim organizacijama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1008</w:t>
            </w:r>
          </w:p>
        </w:tc>
        <w:tc>
          <w:tcPr>
            <w:tcW w:w="1835" w:type="dxa"/>
          </w:tcPr>
          <w:p>
            <w:pPr>
              <w:ind w:left="-108" w:right="-114"/>
              <w:jc w:val="center"/>
              <w:rPr>
                <w:b/>
                <w:bCs/>
                <w:color w:val="000000"/>
                <w:sz w:val="20"/>
                <w:szCs w:val="20"/>
              </w:rPr>
            </w:pPr>
            <w:r>
              <w:rPr>
                <w:b/>
                <w:bCs/>
                <w:color w:val="000000"/>
                <w:sz w:val="20"/>
                <w:szCs w:val="20"/>
              </w:rPr>
              <w:t>4.000,00</w:t>
            </w:r>
          </w:p>
        </w:tc>
        <w:tc>
          <w:tcPr>
            <w:tcW w:w="1693" w:type="dxa"/>
          </w:tcPr>
          <w:p>
            <w:pPr>
              <w:ind w:left="-108" w:right="-114"/>
              <w:jc w:val="center"/>
              <w:rPr>
                <w:b/>
                <w:bCs/>
                <w:color w:val="000000"/>
                <w:sz w:val="20"/>
                <w:szCs w:val="20"/>
              </w:rPr>
            </w:pPr>
            <w:r>
              <w:rPr>
                <w:b/>
                <w:bCs/>
                <w:color w:val="000000"/>
                <w:sz w:val="20"/>
                <w:szCs w:val="20"/>
              </w:rPr>
              <w:t>1.000,00</w:t>
            </w:r>
          </w:p>
        </w:tc>
        <w:tc>
          <w:tcPr>
            <w:tcW w:w="4697" w:type="dxa"/>
          </w:tcPr>
          <w:p>
            <w:pPr>
              <w:ind w:left="-108" w:right="-114"/>
              <w:jc w:val="center"/>
              <w:rPr>
                <w:b/>
                <w:bCs/>
                <w:color w:val="000000"/>
                <w:sz w:val="20"/>
                <w:szCs w:val="20"/>
              </w:rPr>
            </w:pPr>
            <w:r>
              <w:rPr>
                <w:b/>
                <w:bCs/>
                <w:color w:val="000000"/>
                <w:sz w:val="20"/>
                <w:szCs w:val="20"/>
              </w:rPr>
              <w:t>25,00%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27"/>
        </w:numPr>
        <w:jc w:val="both"/>
        <w:rPr>
          <w:rFonts w:ascii="Times New Roman" w:hAnsi="Times New Roman" w:cs="Times New Roman"/>
          <w:b/>
          <w:sz w:val="24"/>
          <w:szCs w:val="24"/>
        </w:rPr>
      </w:pPr>
      <w:r>
        <w:rPr>
          <w:rFonts w:ascii="Times New Roman" w:hAnsi="Times New Roman" w:cs="Times New Roman"/>
          <w:b/>
          <w:sz w:val="24"/>
          <w:szCs w:val="24"/>
        </w:rPr>
        <w:t>Aktivnost A100001: Tekuće donacije vjerskim organizacijama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4.000,00</w:t>
            </w:r>
          </w:p>
        </w:tc>
        <w:tc>
          <w:tcPr>
            <w:tcW w:w="1693" w:type="dxa"/>
          </w:tcPr>
          <w:p>
            <w:pPr>
              <w:ind w:left="-108" w:right="-114"/>
              <w:jc w:val="center"/>
              <w:rPr>
                <w:b/>
                <w:bCs/>
                <w:color w:val="000000"/>
                <w:sz w:val="20"/>
                <w:szCs w:val="20"/>
              </w:rPr>
            </w:pPr>
            <w:r>
              <w:rPr>
                <w:b/>
                <w:bCs/>
                <w:color w:val="000000"/>
                <w:sz w:val="20"/>
                <w:szCs w:val="20"/>
              </w:rPr>
              <w:t>1.000,00</w:t>
            </w:r>
          </w:p>
        </w:tc>
        <w:tc>
          <w:tcPr>
            <w:tcW w:w="4698" w:type="dxa"/>
          </w:tcPr>
          <w:p>
            <w:pPr>
              <w:ind w:left="-108" w:right="-114"/>
              <w:jc w:val="center"/>
              <w:rPr>
                <w:b/>
                <w:bCs/>
                <w:color w:val="000000"/>
                <w:sz w:val="20"/>
                <w:szCs w:val="20"/>
              </w:rPr>
            </w:pPr>
            <w:r>
              <w:rPr>
                <w:b/>
                <w:bCs/>
                <w:color w:val="000000"/>
                <w:sz w:val="20"/>
                <w:szCs w:val="20"/>
              </w:rPr>
              <w:t>25,00%</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Tekuće donacije vjerskim organizacijama odnosi se na isplatu pomoći Župi Marijina Uznesenja na Žirju, odobrenje donijelo Općinsko vijeće.</w:t>
      </w: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1009: Financiranje rada Crvenog križa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1009</w:t>
            </w:r>
          </w:p>
        </w:tc>
        <w:tc>
          <w:tcPr>
            <w:tcW w:w="1835" w:type="dxa"/>
          </w:tcPr>
          <w:p>
            <w:pPr>
              <w:ind w:left="-108" w:right="-114"/>
              <w:jc w:val="center"/>
              <w:rPr>
                <w:b/>
                <w:bCs/>
                <w:color w:val="000000"/>
                <w:sz w:val="20"/>
                <w:szCs w:val="20"/>
              </w:rPr>
            </w:pPr>
            <w:r>
              <w:rPr>
                <w:b/>
                <w:bCs/>
                <w:color w:val="000000"/>
                <w:sz w:val="20"/>
                <w:szCs w:val="20"/>
              </w:rPr>
              <w:t>6.600,00</w:t>
            </w:r>
          </w:p>
        </w:tc>
        <w:tc>
          <w:tcPr>
            <w:tcW w:w="1693" w:type="dxa"/>
          </w:tcPr>
          <w:p>
            <w:pPr>
              <w:ind w:left="-108" w:right="-114"/>
              <w:jc w:val="center"/>
              <w:rPr>
                <w:b/>
                <w:bCs/>
                <w:color w:val="000000"/>
                <w:sz w:val="20"/>
                <w:szCs w:val="20"/>
              </w:rPr>
            </w:pPr>
            <w:r>
              <w:rPr>
                <w:b/>
                <w:bCs/>
                <w:color w:val="000000"/>
                <w:sz w:val="20"/>
                <w:szCs w:val="20"/>
              </w:rPr>
              <w:t>2.253,78</w:t>
            </w:r>
          </w:p>
        </w:tc>
        <w:tc>
          <w:tcPr>
            <w:tcW w:w="4697" w:type="dxa"/>
          </w:tcPr>
          <w:p>
            <w:pPr>
              <w:ind w:left="-108" w:right="-114"/>
              <w:jc w:val="center"/>
              <w:rPr>
                <w:b/>
                <w:bCs/>
                <w:color w:val="000000"/>
                <w:sz w:val="20"/>
                <w:szCs w:val="20"/>
              </w:rPr>
            </w:pPr>
            <w:r>
              <w:rPr>
                <w:b/>
                <w:bCs/>
                <w:color w:val="000000"/>
                <w:sz w:val="20"/>
                <w:szCs w:val="20"/>
              </w:rPr>
              <w:t>34,15%</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28"/>
        </w:numPr>
        <w:jc w:val="both"/>
        <w:rPr>
          <w:rFonts w:ascii="Times New Roman" w:hAnsi="Times New Roman" w:cs="Times New Roman"/>
          <w:b/>
          <w:sz w:val="24"/>
          <w:szCs w:val="24"/>
        </w:rPr>
      </w:pPr>
      <w:r>
        <w:rPr>
          <w:rFonts w:ascii="Times New Roman" w:hAnsi="Times New Roman" w:cs="Times New Roman"/>
          <w:b/>
          <w:sz w:val="24"/>
          <w:szCs w:val="24"/>
        </w:rPr>
        <w:t>Aktivnost A100001: Financiranje rada Crvenog križa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6.600,00</w:t>
            </w:r>
          </w:p>
        </w:tc>
        <w:tc>
          <w:tcPr>
            <w:tcW w:w="1693" w:type="dxa"/>
          </w:tcPr>
          <w:p>
            <w:pPr>
              <w:ind w:left="-108" w:right="-114"/>
              <w:jc w:val="center"/>
              <w:rPr>
                <w:b/>
                <w:bCs/>
                <w:color w:val="000000"/>
                <w:sz w:val="20"/>
                <w:szCs w:val="20"/>
              </w:rPr>
            </w:pPr>
            <w:r>
              <w:rPr>
                <w:b/>
                <w:bCs/>
                <w:color w:val="000000"/>
                <w:sz w:val="20"/>
                <w:szCs w:val="20"/>
              </w:rPr>
              <w:t>2.253,78</w:t>
            </w:r>
          </w:p>
        </w:tc>
        <w:tc>
          <w:tcPr>
            <w:tcW w:w="4698" w:type="dxa"/>
          </w:tcPr>
          <w:p>
            <w:pPr>
              <w:ind w:left="-108" w:right="-114"/>
              <w:jc w:val="center"/>
              <w:rPr>
                <w:b/>
                <w:bCs/>
                <w:color w:val="000000"/>
                <w:sz w:val="20"/>
                <w:szCs w:val="20"/>
              </w:rPr>
            </w:pPr>
            <w:r>
              <w:rPr>
                <w:b/>
                <w:bCs/>
                <w:color w:val="000000"/>
                <w:sz w:val="20"/>
                <w:szCs w:val="20"/>
              </w:rPr>
              <w:t>34,15%</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Financiranje rada Crvenog križa odnosi se na obvezu plaćanja prema Zakonu o Hrvatskom crvenom križu.</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Program 1001: Sufinanciranje programa predškolskog odgoja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1001</w:t>
            </w:r>
          </w:p>
        </w:tc>
        <w:tc>
          <w:tcPr>
            <w:tcW w:w="1835" w:type="dxa"/>
          </w:tcPr>
          <w:p>
            <w:pPr>
              <w:ind w:left="-108" w:right="-114"/>
              <w:jc w:val="center"/>
              <w:rPr>
                <w:b/>
                <w:bCs/>
                <w:color w:val="000000"/>
                <w:sz w:val="20"/>
                <w:szCs w:val="20"/>
              </w:rPr>
            </w:pPr>
            <w:r>
              <w:rPr>
                <w:b/>
                <w:bCs/>
                <w:color w:val="000000"/>
                <w:sz w:val="20"/>
                <w:szCs w:val="20"/>
              </w:rPr>
              <w:t>159.300,00</w:t>
            </w:r>
          </w:p>
        </w:tc>
        <w:tc>
          <w:tcPr>
            <w:tcW w:w="1693" w:type="dxa"/>
          </w:tcPr>
          <w:p>
            <w:pPr>
              <w:ind w:left="-108" w:right="-114"/>
              <w:jc w:val="center"/>
              <w:rPr>
                <w:b/>
                <w:bCs/>
                <w:color w:val="000000"/>
                <w:sz w:val="20"/>
                <w:szCs w:val="20"/>
              </w:rPr>
            </w:pPr>
            <w:r>
              <w:rPr>
                <w:b/>
                <w:bCs/>
                <w:color w:val="000000"/>
                <w:sz w:val="20"/>
                <w:szCs w:val="20"/>
              </w:rPr>
              <w:t>74.014,60</w:t>
            </w:r>
          </w:p>
        </w:tc>
        <w:tc>
          <w:tcPr>
            <w:tcW w:w="4697" w:type="dxa"/>
          </w:tcPr>
          <w:p>
            <w:pPr>
              <w:ind w:left="-108" w:right="-114"/>
              <w:jc w:val="center"/>
              <w:rPr>
                <w:b/>
                <w:bCs/>
                <w:color w:val="000000"/>
                <w:sz w:val="20"/>
                <w:szCs w:val="20"/>
              </w:rPr>
            </w:pPr>
            <w:r>
              <w:rPr>
                <w:b/>
                <w:bCs/>
                <w:color w:val="000000"/>
                <w:sz w:val="20"/>
                <w:szCs w:val="20"/>
              </w:rPr>
              <w:t>46,46%</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29"/>
        </w:numPr>
        <w:jc w:val="both"/>
        <w:rPr>
          <w:rFonts w:ascii="Times New Roman" w:hAnsi="Times New Roman" w:cs="Times New Roman"/>
          <w:b/>
          <w:sz w:val="24"/>
          <w:szCs w:val="24"/>
        </w:rPr>
      </w:pPr>
      <w:r>
        <w:rPr>
          <w:rFonts w:ascii="Times New Roman" w:hAnsi="Times New Roman" w:cs="Times New Roman"/>
          <w:b/>
          <w:sz w:val="24"/>
          <w:szCs w:val="24"/>
        </w:rPr>
        <w:t>Aktivnost A100001: Sufinanciranje programa predškolskog odgoja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159.300,00</w:t>
            </w:r>
          </w:p>
        </w:tc>
        <w:tc>
          <w:tcPr>
            <w:tcW w:w="1693" w:type="dxa"/>
          </w:tcPr>
          <w:p>
            <w:pPr>
              <w:ind w:left="-108" w:right="-114"/>
              <w:jc w:val="center"/>
              <w:rPr>
                <w:b/>
                <w:bCs/>
                <w:color w:val="000000"/>
                <w:sz w:val="20"/>
                <w:szCs w:val="20"/>
              </w:rPr>
            </w:pPr>
            <w:r>
              <w:rPr>
                <w:b/>
                <w:bCs/>
                <w:color w:val="000000"/>
                <w:sz w:val="20"/>
                <w:szCs w:val="20"/>
              </w:rPr>
              <w:t>74.014,60</w:t>
            </w:r>
          </w:p>
        </w:tc>
        <w:tc>
          <w:tcPr>
            <w:tcW w:w="4698" w:type="dxa"/>
          </w:tcPr>
          <w:p>
            <w:pPr>
              <w:ind w:left="-108" w:right="-114"/>
              <w:jc w:val="center"/>
              <w:rPr>
                <w:b/>
                <w:bCs/>
                <w:color w:val="000000"/>
                <w:sz w:val="20"/>
                <w:szCs w:val="20"/>
              </w:rPr>
            </w:pPr>
            <w:r>
              <w:rPr>
                <w:b/>
                <w:bCs/>
                <w:color w:val="000000"/>
                <w:sz w:val="20"/>
                <w:szCs w:val="20"/>
              </w:rPr>
              <w:t>46,46%</w:t>
            </w:r>
          </w:p>
        </w:tc>
      </w:tr>
    </w:tbl>
    <w:p>
      <w:pPr>
        <w:jc w:val="both"/>
        <w:rPr>
          <w:rFonts w:ascii="Times New Roman" w:hAnsi="Times New Roman" w:cs="Times New Roman"/>
          <w:sz w:val="24"/>
          <w:szCs w:val="24"/>
        </w:rPr>
      </w:pPr>
      <w:r>
        <w:rPr>
          <w:rFonts w:ascii="Times New Roman" w:hAnsi="Times New Roman" w:cs="Times New Roman"/>
          <w:sz w:val="24"/>
          <w:szCs w:val="24"/>
        </w:rPr>
        <w:t xml:space="preserve">Kroz aktivnost A100001: Sufinanciranje programa predškolskog odgoja odnosi se na sufinanciranje boravka djece u dječijim vrtićima. </w:t>
      </w:r>
    </w:p>
    <w:p>
      <w:pPr>
        <w:jc w:val="both"/>
        <w:rPr>
          <w:rFonts w:ascii="Times New Roman" w:hAnsi="Times New Roman" w:cs="Times New Roman"/>
          <w:b/>
          <w:sz w:val="24"/>
          <w:szCs w:val="24"/>
        </w:rPr>
      </w:pPr>
      <w:r>
        <w:rPr>
          <w:rFonts w:ascii="Times New Roman" w:hAnsi="Times New Roman" w:cs="Times New Roman"/>
          <w:b/>
          <w:sz w:val="24"/>
          <w:szCs w:val="24"/>
        </w:rPr>
        <w:t>Program 1001: Civilna zaštita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1001</w:t>
            </w:r>
          </w:p>
        </w:tc>
        <w:tc>
          <w:tcPr>
            <w:tcW w:w="1835" w:type="dxa"/>
          </w:tcPr>
          <w:p>
            <w:pPr>
              <w:ind w:left="-108" w:right="-114"/>
              <w:jc w:val="center"/>
              <w:rPr>
                <w:b/>
                <w:bCs/>
                <w:color w:val="000000"/>
                <w:sz w:val="20"/>
                <w:szCs w:val="20"/>
              </w:rPr>
            </w:pPr>
            <w:r>
              <w:rPr>
                <w:b/>
                <w:bCs/>
                <w:color w:val="000000"/>
                <w:sz w:val="20"/>
                <w:szCs w:val="20"/>
              </w:rPr>
              <w:t>4.000,00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30"/>
        </w:numPr>
        <w:jc w:val="both"/>
        <w:rPr>
          <w:rFonts w:ascii="Times New Roman" w:hAnsi="Times New Roman" w:cs="Times New Roman"/>
          <w:b/>
          <w:sz w:val="24"/>
          <w:szCs w:val="24"/>
        </w:rPr>
      </w:pPr>
      <w:r>
        <w:rPr>
          <w:rFonts w:ascii="Times New Roman" w:hAnsi="Times New Roman" w:cs="Times New Roman"/>
          <w:b/>
          <w:sz w:val="24"/>
          <w:szCs w:val="24"/>
        </w:rPr>
        <w:t>Aktivnost A100001: Financiranje sustava civilne zaštite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0"/>
        </w:numPr>
        <w:jc w:val="both"/>
        <w:rPr>
          <w:rFonts w:ascii="Times New Roman" w:hAnsi="Times New Roman" w:cs="Times New Roman"/>
          <w:b/>
          <w:sz w:val="24"/>
          <w:szCs w:val="24"/>
        </w:rPr>
      </w:pPr>
      <w:r>
        <w:rPr>
          <w:rFonts w:ascii="Times New Roman" w:hAnsi="Times New Roman" w:cs="Times New Roman"/>
          <w:b/>
          <w:sz w:val="24"/>
          <w:szCs w:val="24"/>
        </w:rPr>
        <w:t>Aktivnost A100002: Financiranje rada HGSS Šibenik</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1.300,00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Program 1001: Tekuće održavanje javnih zelenih površina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1001</w:t>
            </w:r>
          </w:p>
        </w:tc>
        <w:tc>
          <w:tcPr>
            <w:tcW w:w="1835" w:type="dxa"/>
          </w:tcPr>
          <w:p>
            <w:pPr>
              <w:ind w:left="-108" w:right="-114"/>
              <w:jc w:val="center"/>
              <w:rPr>
                <w:b/>
                <w:bCs/>
                <w:color w:val="000000"/>
                <w:sz w:val="20"/>
                <w:szCs w:val="20"/>
              </w:rPr>
            </w:pPr>
            <w:r>
              <w:rPr>
                <w:b/>
                <w:bCs/>
                <w:color w:val="000000"/>
                <w:sz w:val="20"/>
                <w:szCs w:val="20"/>
              </w:rPr>
              <w:t>53.200,00</w:t>
            </w:r>
          </w:p>
        </w:tc>
        <w:tc>
          <w:tcPr>
            <w:tcW w:w="1693" w:type="dxa"/>
          </w:tcPr>
          <w:p>
            <w:pPr>
              <w:ind w:left="-108" w:right="-114"/>
              <w:jc w:val="center"/>
              <w:rPr>
                <w:b/>
                <w:bCs/>
                <w:color w:val="000000"/>
                <w:sz w:val="20"/>
                <w:szCs w:val="20"/>
              </w:rPr>
            </w:pPr>
            <w:r>
              <w:rPr>
                <w:b/>
                <w:bCs/>
                <w:color w:val="000000"/>
                <w:sz w:val="20"/>
                <w:szCs w:val="20"/>
              </w:rPr>
              <w:t>16.984,97</w:t>
            </w:r>
          </w:p>
        </w:tc>
        <w:tc>
          <w:tcPr>
            <w:tcW w:w="4697" w:type="dxa"/>
          </w:tcPr>
          <w:p>
            <w:pPr>
              <w:ind w:left="-108" w:right="-114"/>
              <w:jc w:val="center"/>
              <w:rPr>
                <w:b/>
                <w:bCs/>
                <w:color w:val="000000"/>
                <w:sz w:val="20"/>
                <w:szCs w:val="20"/>
              </w:rPr>
            </w:pPr>
            <w:r>
              <w:rPr>
                <w:b/>
                <w:bCs/>
                <w:color w:val="000000"/>
                <w:sz w:val="20"/>
                <w:szCs w:val="20"/>
              </w:rPr>
              <w:t>31,93%</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31"/>
        </w:numPr>
        <w:jc w:val="both"/>
        <w:rPr>
          <w:rFonts w:ascii="Times New Roman" w:hAnsi="Times New Roman" w:cs="Times New Roman"/>
          <w:b/>
          <w:sz w:val="24"/>
          <w:szCs w:val="24"/>
        </w:rPr>
      </w:pPr>
      <w:r>
        <w:rPr>
          <w:rFonts w:ascii="Times New Roman" w:hAnsi="Times New Roman" w:cs="Times New Roman"/>
          <w:b/>
          <w:sz w:val="24"/>
          <w:szCs w:val="24"/>
        </w:rPr>
        <w:t>Aktivnost A100003: Zbrinjavanje napuštenih životinja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A100003</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1"/>
        </w:numPr>
        <w:jc w:val="both"/>
        <w:rPr>
          <w:rFonts w:ascii="Times New Roman" w:hAnsi="Times New Roman" w:cs="Times New Roman"/>
          <w:b/>
          <w:sz w:val="24"/>
          <w:szCs w:val="24"/>
        </w:rPr>
      </w:pPr>
      <w:r>
        <w:rPr>
          <w:rFonts w:ascii="Times New Roman" w:hAnsi="Times New Roman" w:cs="Times New Roman"/>
          <w:b/>
          <w:sz w:val="24"/>
          <w:szCs w:val="24"/>
        </w:rPr>
        <w:t>Aktivnost A100004: Provođenje DDDK mjera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A100004</w:t>
            </w:r>
          </w:p>
        </w:tc>
        <w:tc>
          <w:tcPr>
            <w:tcW w:w="1834" w:type="dxa"/>
          </w:tcPr>
          <w:p>
            <w:pPr>
              <w:ind w:left="-108" w:right="-114"/>
              <w:jc w:val="center"/>
              <w:rPr>
                <w:b/>
                <w:bCs/>
                <w:color w:val="000000"/>
                <w:sz w:val="20"/>
                <w:szCs w:val="20"/>
              </w:rPr>
            </w:pPr>
            <w:r>
              <w:rPr>
                <w:b/>
                <w:bCs/>
                <w:color w:val="000000"/>
                <w:sz w:val="20"/>
                <w:szCs w:val="20"/>
              </w:rPr>
              <w:t>5.300,00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1"/>
        </w:numPr>
        <w:jc w:val="both"/>
        <w:rPr>
          <w:rFonts w:ascii="Times New Roman" w:hAnsi="Times New Roman" w:cs="Times New Roman"/>
          <w:b/>
          <w:sz w:val="24"/>
          <w:szCs w:val="24"/>
        </w:rPr>
      </w:pPr>
      <w:r>
        <w:rPr>
          <w:rFonts w:ascii="Times New Roman" w:hAnsi="Times New Roman" w:cs="Times New Roman"/>
          <w:b/>
          <w:sz w:val="24"/>
          <w:szCs w:val="24"/>
        </w:rPr>
        <w:t>Aktivnost A100005: Uklanjanje otpada sa javnih površina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A100005</w:t>
            </w:r>
          </w:p>
        </w:tc>
        <w:tc>
          <w:tcPr>
            <w:tcW w:w="1834" w:type="dxa"/>
          </w:tcPr>
          <w:p>
            <w:pPr>
              <w:ind w:left="-108" w:right="-114"/>
              <w:jc w:val="center"/>
              <w:rPr>
                <w:b/>
                <w:bCs/>
                <w:color w:val="000000"/>
                <w:sz w:val="20"/>
                <w:szCs w:val="20"/>
              </w:rPr>
            </w:pPr>
            <w:r>
              <w:rPr>
                <w:b/>
                <w:bCs/>
                <w:color w:val="000000"/>
                <w:sz w:val="20"/>
                <w:szCs w:val="20"/>
              </w:rPr>
              <w:t>13.300,00</w:t>
            </w:r>
          </w:p>
        </w:tc>
        <w:tc>
          <w:tcPr>
            <w:tcW w:w="1693" w:type="dxa"/>
          </w:tcPr>
          <w:p>
            <w:pPr>
              <w:ind w:left="-108" w:right="-114"/>
              <w:jc w:val="center"/>
              <w:rPr>
                <w:b/>
                <w:bCs/>
                <w:color w:val="000000"/>
                <w:sz w:val="20"/>
                <w:szCs w:val="20"/>
              </w:rPr>
            </w:pPr>
            <w:r>
              <w:rPr>
                <w:b/>
                <w:bCs/>
                <w:color w:val="000000"/>
                <w:sz w:val="20"/>
                <w:szCs w:val="20"/>
              </w:rPr>
              <w:t>7.557,60</w:t>
            </w:r>
          </w:p>
        </w:tc>
        <w:tc>
          <w:tcPr>
            <w:tcW w:w="4698" w:type="dxa"/>
          </w:tcPr>
          <w:p>
            <w:pPr>
              <w:ind w:left="-108" w:right="-114"/>
              <w:jc w:val="center"/>
              <w:rPr>
                <w:b/>
                <w:bCs/>
                <w:color w:val="000000"/>
                <w:sz w:val="20"/>
                <w:szCs w:val="20"/>
              </w:rPr>
            </w:pPr>
            <w:r>
              <w:rPr>
                <w:b/>
                <w:bCs/>
                <w:color w:val="000000"/>
                <w:sz w:val="20"/>
                <w:szCs w:val="20"/>
              </w:rPr>
              <w:t>56,82%</w:t>
            </w:r>
          </w:p>
        </w:tc>
      </w:tr>
    </w:tbl>
    <w:p>
      <w:pPr>
        <w:jc w:val="both"/>
        <w:rPr>
          <w:rFonts w:ascii="Times New Roman" w:hAnsi="Times New Roman" w:cs="Times New Roman"/>
          <w:sz w:val="24"/>
          <w:szCs w:val="24"/>
        </w:rPr>
      </w:pPr>
      <w:r>
        <w:rPr>
          <w:rFonts w:ascii="Times New Roman" w:hAnsi="Times New Roman" w:cs="Times New Roman"/>
          <w:sz w:val="24"/>
          <w:szCs w:val="24"/>
        </w:rPr>
        <w:t>Kroz aktivnosti od A100005-A100011 brine komunalno poduzeće Bilice d.o.o.</w:t>
      </w:r>
    </w:p>
    <w:p>
      <w:pPr>
        <w:pStyle w:val="Odlomakpopisa"/>
        <w:numPr>
          <w:ilvl w:val="0"/>
          <w:numId w:val="31"/>
        </w:numPr>
        <w:jc w:val="both"/>
        <w:rPr>
          <w:rFonts w:ascii="Times New Roman" w:hAnsi="Times New Roman" w:cs="Times New Roman"/>
          <w:b/>
          <w:sz w:val="24"/>
          <w:szCs w:val="24"/>
        </w:rPr>
      </w:pPr>
      <w:r>
        <w:rPr>
          <w:rFonts w:ascii="Times New Roman" w:hAnsi="Times New Roman" w:cs="Times New Roman"/>
          <w:b/>
          <w:sz w:val="24"/>
          <w:szCs w:val="24"/>
        </w:rPr>
        <w:t>Aktivnost A100006: Održavanje građevina javne odvodnje oborinskih voda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A100006</w:t>
            </w:r>
          </w:p>
        </w:tc>
        <w:tc>
          <w:tcPr>
            <w:tcW w:w="1834" w:type="dxa"/>
          </w:tcPr>
          <w:p>
            <w:pPr>
              <w:ind w:left="-108" w:right="-114"/>
              <w:jc w:val="center"/>
              <w:rPr>
                <w:b/>
                <w:bCs/>
                <w:color w:val="000000"/>
                <w:sz w:val="20"/>
                <w:szCs w:val="20"/>
              </w:rPr>
            </w:pPr>
            <w:r>
              <w:rPr>
                <w:b/>
                <w:bCs/>
                <w:color w:val="000000"/>
                <w:sz w:val="20"/>
                <w:szCs w:val="20"/>
              </w:rPr>
              <w:t>4.000,00</w:t>
            </w:r>
          </w:p>
        </w:tc>
        <w:tc>
          <w:tcPr>
            <w:tcW w:w="1693" w:type="dxa"/>
          </w:tcPr>
          <w:p>
            <w:pPr>
              <w:ind w:left="-108" w:right="-114"/>
              <w:jc w:val="center"/>
              <w:rPr>
                <w:b/>
                <w:bCs/>
                <w:color w:val="000000"/>
                <w:sz w:val="20"/>
                <w:szCs w:val="20"/>
              </w:rPr>
            </w:pPr>
            <w:r>
              <w:rPr>
                <w:b/>
                <w:bCs/>
                <w:color w:val="000000"/>
                <w:sz w:val="20"/>
                <w:szCs w:val="20"/>
              </w:rPr>
              <w:t>3.496,80</w:t>
            </w:r>
          </w:p>
        </w:tc>
        <w:tc>
          <w:tcPr>
            <w:tcW w:w="4698" w:type="dxa"/>
          </w:tcPr>
          <w:p>
            <w:pPr>
              <w:ind w:left="-108" w:right="-114"/>
              <w:jc w:val="center"/>
              <w:rPr>
                <w:b/>
                <w:bCs/>
                <w:color w:val="000000"/>
                <w:sz w:val="20"/>
                <w:szCs w:val="20"/>
              </w:rPr>
            </w:pPr>
            <w:r>
              <w:rPr>
                <w:b/>
                <w:bCs/>
                <w:color w:val="000000"/>
                <w:sz w:val="20"/>
                <w:szCs w:val="20"/>
              </w:rPr>
              <w:t>87,42%</w:t>
            </w:r>
          </w:p>
        </w:tc>
      </w:tr>
    </w:tbl>
    <w:p>
      <w:pPr>
        <w:jc w:val="both"/>
        <w:rPr>
          <w:rFonts w:ascii="Times New Roman" w:hAnsi="Times New Roman" w:cs="Times New Roman"/>
          <w:sz w:val="24"/>
          <w:szCs w:val="24"/>
        </w:rPr>
      </w:pPr>
    </w:p>
    <w:p>
      <w:pPr>
        <w:pStyle w:val="Odlomakpopisa"/>
        <w:numPr>
          <w:ilvl w:val="0"/>
          <w:numId w:val="31"/>
        </w:numPr>
        <w:jc w:val="both"/>
        <w:rPr>
          <w:rFonts w:ascii="Times New Roman" w:hAnsi="Times New Roman" w:cs="Times New Roman"/>
          <w:b/>
          <w:sz w:val="24"/>
          <w:szCs w:val="24"/>
        </w:rPr>
      </w:pPr>
      <w:r>
        <w:rPr>
          <w:rFonts w:ascii="Times New Roman" w:hAnsi="Times New Roman" w:cs="Times New Roman"/>
          <w:b/>
          <w:sz w:val="24"/>
          <w:szCs w:val="24"/>
        </w:rPr>
        <w:t>Aktivnost A100007: Održavanje građevina, uređaja i predmeta javne namjene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A100007</w:t>
            </w:r>
          </w:p>
        </w:tc>
        <w:tc>
          <w:tcPr>
            <w:tcW w:w="1834" w:type="dxa"/>
          </w:tcPr>
          <w:p>
            <w:pPr>
              <w:ind w:left="-108" w:right="-114"/>
              <w:jc w:val="center"/>
              <w:rPr>
                <w:b/>
                <w:bCs/>
                <w:color w:val="000000"/>
                <w:sz w:val="20"/>
                <w:szCs w:val="20"/>
              </w:rPr>
            </w:pPr>
            <w:r>
              <w:rPr>
                <w:b/>
                <w:bCs/>
                <w:color w:val="000000"/>
                <w:sz w:val="20"/>
                <w:szCs w:val="20"/>
              </w:rPr>
              <w:t>6.600,00</w:t>
            </w:r>
          </w:p>
        </w:tc>
        <w:tc>
          <w:tcPr>
            <w:tcW w:w="1693" w:type="dxa"/>
          </w:tcPr>
          <w:p>
            <w:pPr>
              <w:ind w:left="-108" w:right="-114"/>
              <w:jc w:val="center"/>
              <w:rPr>
                <w:b/>
                <w:bCs/>
                <w:color w:val="000000"/>
                <w:sz w:val="20"/>
                <w:szCs w:val="20"/>
              </w:rPr>
            </w:pPr>
            <w:r>
              <w:rPr>
                <w:b/>
                <w:bCs/>
                <w:color w:val="000000"/>
                <w:sz w:val="20"/>
                <w:szCs w:val="20"/>
              </w:rPr>
              <w:t>3.496,80</w:t>
            </w:r>
          </w:p>
        </w:tc>
        <w:tc>
          <w:tcPr>
            <w:tcW w:w="4698" w:type="dxa"/>
          </w:tcPr>
          <w:p>
            <w:pPr>
              <w:ind w:left="-108" w:right="-114"/>
              <w:jc w:val="center"/>
              <w:rPr>
                <w:b/>
                <w:bCs/>
                <w:color w:val="000000"/>
                <w:sz w:val="20"/>
                <w:szCs w:val="20"/>
              </w:rPr>
            </w:pPr>
            <w:r>
              <w:rPr>
                <w:b/>
                <w:bCs/>
                <w:color w:val="000000"/>
                <w:sz w:val="20"/>
                <w:szCs w:val="20"/>
              </w:rPr>
              <w:t>52,98%</w:t>
            </w:r>
          </w:p>
        </w:tc>
      </w:tr>
    </w:tbl>
    <w:p>
      <w:pPr>
        <w:jc w:val="both"/>
        <w:rPr>
          <w:rFonts w:ascii="Times New Roman" w:hAnsi="Times New Roman" w:cs="Times New Roman"/>
          <w:sz w:val="24"/>
          <w:szCs w:val="24"/>
        </w:rPr>
      </w:pPr>
    </w:p>
    <w:p>
      <w:pPr>
        <w:pStyle w:val="Odlomakpopisa"/>
        <w:numPr>
          <w:ilvl w:val="0"/>
          <w:numId w:val="31"/>
        </w:numPr>
        <w:jc w:val="both"/>
        <w:rPr>
          <w:rFonts w:ascii="Times New Roman" w:hAnsi="Times New Roman" w:cs="Times New Roman"/>
          <w:b/>
          <w:sz w:val="24"/>
          <w:szCs w:val="24"/>
        </w:rPr>
      </w:pPr>
      <w:r>
        <w:rPr>
          <w:rFonts w:ascii="Times New Roman" w:hAnsi="Times New Roman" w:cs="Times New Roman"/>
          <w:b/>
          <w:sz w:val="24"/>
          <w:szCs w:val="24"/>
        </w:rPr>
        <w:lastRenderedPageBreak/>
        <w:t>Aktivnost A100008: Održavanje čistoće javnih površina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A100008</w:t>
            </w:r>
          </w:p>
        </w:tc>
        <w:tc>
          <w:tcPr>
            <w:tcW w:w="1834" w:type="dxa"/>
          </w:tcPr>
          <w:p>
            <w:pPr>
              <w:ind w:left="-108" w:right="-114"/>
              <w:jc w:val="center"/>
              <w:rPr>
                <w:b/>
                <w:bCs/>
                <w:color w:val="000000"/>
                <w:sz w:val="20"/>
                <w:szCs w:val="20"/>
              </w:rPr>
            </w:pPr>
            <w:r>
              <w:rPr>
                <w:b/>
                <w:bCs/>
                <w:color w:val="000000"/>
                <w:sz w:val="20"/>
                <w:szCs w:val="20"/>
              </w:rPr>
              <w:t>13.300,00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1"/>
        </w:numPr>
        <w:jc w:val="both"/>
        <w:rPr>
          <w:rFonts w:ascii="Times New Roman" w:hAnsi="Times New Roman" w:cs="Times New Roman"/>
          <w:b/>
          <w:sz w:val="24"/>
          <w:szCs w:val="24"/>
        </w:rPr>
      </w:pPr>
      <w:r>
        <w:rPr>
          <w:rFonts w:ascii="Times New Roman" w:hAnsi="Times New Roman" w:cs="Times New Roman"/>
          <w:b/>
          <w:sz w:val="24"/>
          <w:szCs w:val="24"/>
        </w:rPr>
        <w:t>Aktivnost A100010: Održavanje dječijih igrališta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A100010</w:t>
            </w:r>
          </w:p>
        </w:tc>
        <w:tc>
          <w:tcPr>
            <w:tcW w:w="1834" w:type="dxa"/>
          </w:tcPr>
          <w:p>
            <w:pPr>
              <w:ind w:left="-108" w:right="-114"/>
              <w:jc w:val="center"/>
              <w:rPr>
                <w:b/>
                <w:bCs/>
                <w:color w:val="000000"/>
                <w:sz w:val="20"/>
                <w:szCs w:val="20"/>
              </w:rPr>
            </w:pPr>
            <w:r>
              <w:rPr>
                <w:b/>
                <w:bCs/>
                <w:color w:val="000000"/>
                <w:sz w:val="20"/>
                <w:szCs w:val="20"/>
              </w:rPr>
              <w:t>4.000,00</w:t>
            </w:r>
          </w:p>
        </w:tc>
        <w:tc>
          <w:tcPr>
            <w:tcW w:w="1693" w:type="dxa"/>
          </w:tcPr>
          <w:p>
            <w:pPr>
              <w:ind w:left="-108" w:right="-114"/>
              <w:jc w:val="center"/>
              <w:rPr>
                <w:b/>
                <w:bCs/>
                <w:color w:val="000000"/>
                <w:sz w:val="20"/>
                <w:szCs w:val="20"/>
              </w:rPr>
            </w:pPr>
            <w:r>
              <w:rPr>
                <w:b/>
                <w:bCs/>
                <w:color w:val="000000"/>
                <w:sz w:val="20"/>
                <w:szCs w:val="20"/>
              </w:rPr>
              <w:t>118,12</w:t>
            </w:r>
          </w:p>
        </w:tc>
        <w:tc>
          <w:tcPr>
            <w:tcW w:w="4698" w:type="dxa"/>
          </w:tcPr>
          <w:p>
            <w:pPr>
              <w:ind w:left="-108" w:right="-114"/>
              <w:jc w:val="center"/>
              <w:rPr>
                <w:b/>
                <w:bCs/>
                <w:color w:val="000000"/>
                <w:sz w:val="20"/>
                <w:szCs w:val="20"/>
              </w:rPr>
            </w:pPr>
            <w:r>
              <w:rPr>
                <w:b/>
                <w:bCs/>
                <w:color w:val="000000"/>
                <w:sz w:val="20"/>
                <w:szCs w:val="20"/>
              </w:rPr>
              <w:t>2,95%</w:t>
            </w:r>
          </w:p>
        </w:tc>
      </w:tr>
    </w:tbl>
    <w:p>
      <w:pPr>
        <w:jc w:val="both"/>
        <w:rPr>
          <w:rFonts w:ascii="Times New Roman" w:hAnsi="Times New Roman" w:cs="Times New Roman"/>
          <w:sz w:val="24"/>
          <w:szCs w:val="24"/>
        </w:rPr>
      </w:pPr>
    </w:p>
    <w:p>
      <w:pPr>
        <w:pStyle w:val="Odlomakpopisa"/>
        <w:numPr>
          <w:ilvl w:val="0"/>
          <w:numId w:val="31"/>
        </w:numPr>
        <w:jc w:val="both"/>
        <w:rPr>
          <w:rFonts w:ascii="Times New Roman" w:hAnsi="Times New Roman" w:cs="Times New Roman"/>
          <w:b/>
          <w:sz w:val="24"/>
          <w:szCs w:val="24"/>
        </w:rPr>
      </w:pPr>
      <w:r>
        <w:rPr>
          <w:rFonts w:ascii="Times New Roman" w:hAnsi="Times New Roman" w:cs="Times New Roman"/>
          <w:b/>
          <w:sz w:val="24"/>
          <w:szCs w:val="24"/>
        </w:rPr>
        <w:t>Aktivnost A100011: Održavanje sportskih igrališta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A100011</w:t>
            </w:r>
          </w:p>
        </w:tc>
        <w:tc>
          <w:tcPr>
            <w:tcW w:w="1834" w:type="dxa"/>
          </w:tcPr>
          <w:p>
            <w:pPr>
              <w:ind w:left="-108" w:right="-114"/>
              <w:jc w:val="center"/>
              <w:rPr>
                <w:b/>
                <w:bCs/>
                <w:color w:val="000000"/>
                <w:sz w:val="20"/>
                <w:szCs w:val="20"/>
              </w:rPr>
            </w:pPr>
            <w:r>
              <w:rPr>
                <w:b/>
                <w:bCs/>
                <w:color w:val="000000"/>
                <w:sz w:val="20"/>
                <w:szCs w:val="20"/>
              </w:rPr>
              <w:t>4.000,00</w:t>
            </w:r>
          </w:p>
        </w:tc>
        <w:tc>
          <w:tcPr>
            <w:tcW w:w="1693" w:type="dxa"/>
          </w:tcPr>
          <w:p>
            <w:pPr>
              <w:ind w:left="-108" w:right="-114"/>
              <w:jc w:val="center"/>
              <w:rPr>
                <w:b/>
                <w:bCs/>
                <w:color w:val="000000"/>
                <w:sz w:val="20"/>
                <w:szCs w:val="20"/>
              </w:rPr>
            </w:pPr>
            <w:r>
              <w:rPr>
                <w:b/>
                <w:bCs/>
                <w:color w:val="000000"/>
                <w:sz w:val="20"/>
                <w:szCs w:val="20"/>
              </w:rPr>
              <w:t>2.315,65</w:t>
            </w:r>
          </w:p>
        </w:tc>
        <w:tc>
          <w:tcPr>
            <w:tcW w:w="4698" w:type="dxa"/>
          </w:tcPr>
          <w:p>
            <w:pPr>
              <w:ind w:left="-108" w:right="-114"/>
              <w:jc w:val="center"/>
              <w:rPr>
                <w:b/>
                <w:bCs/>
                <w:color w:val="000000"/>
                <w:sz w:val="20"/>
                <w:szCs w:val="20"/>
              </w:rPr>
            </w:pPr>
            <w:r>
              <w:rPr>
                <w:b/>
                <w:bCs/>
                <w:color w:val="000000"/>
                <w:sz w:val="20"/>
                <w:szCs w:val="20"/>
              </w:rPr>
              <w:t>57,89%</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1002: Održavanje nerazvrstanih cesta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1002</w:t>
            </w:r>
          </w:p>
        </w:tc>
        <w:tc>
          <w:tcPr>
            <w:tcW w:w="1835" w:type="dxa"/>
          </w:tcPr>
          <w:p>
            <w:pPr>
              <w:ind w:left="-108" w:right="-114"/>
              <w:jc w:val="center"/>
              <w:rPr>
                <w:b/>
                <w:bCs/>
                <w:color w:val="000000"/>
                <w:sz w:val="20"/>
                <w:szCs w:val="20"/>
              </w:rPr>
            </w:pPr>
            <w:r>
              <w:rPr>
                <w:b/>
                <w:bCs/>
                <w:color w:val="000000"/>
                <w:sz w:val="20"/>
                <w:szCs w:val="20"/>
              </w:rPr>
              <w:t>112.800,00</w:t>
            </w:r>
          </w:p>
        </w:tc>
        <w:tc>
          <w:tcPr>
            <w:tcW w:w="1693" w:type="dxa"/>
          </w:tcPr>
          <w:p>
            <w:pPr>
              <w:ind w:left="-108" w:right="-114"/>
              <w:jc w:val="center"/>
              <w:rPr>
                <w:b/>
                <w:bCs/>
                <w:color w:val="000000"/>
                <w:sz w:val="20"/>
                <w:szCs w:val="20"/>
              </w:rPr>
            </w:pPr>
            <w:r>
              <w:rPr>
                <w:b/>
                <w:bCs/>
                <w:color w:val="000000"/>
                <w:sz w:val="20"/>
                <w:szCs w:val="20"/>
              </w:rPr>
              <w:t>21.787,44</w:t>
            </w:r>
          </w:p>
        </w:tc>
        <w:tc>
          <w:tcPr>
            <w:tcW w:w="4697" w:type="dxa"/>
          </w:tcPr>
          <w:p>
            <w:pPr>
              <w:ind w:left="-108" w:right="-114"/>
              <w:jc w:val="center"/>
              <w:rPr>
                <w:b/>
                <w:bCs/>
                <w:color w:val="000000"/>
                <w:sz w:val="20"/>
                <w:szCs w:val="20"/>
              </w:rPr>
            </w:pPr>
            <w:r>
              <w:rPr>
                <w:b/>
                <w:bCs/>
                <w:color w:val="000000"/>
                <w:sz w:val="20"/>
                <w:szCs w:val="20"/>
              </w:rPr>
              <w:t>19,32%</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32"/>
        </w:numPr>
        <w:jc w:val="both"/>
        <w:rPr>
          <w:rFonts w:ascii="Times New Roman" w:hAnsi="Times New Roman" w:cs="Times New Roman"/>
          <w:b/>
          <w:sz w:val="24"/>
          <w:szCs w:val="24"/>
        </w:rPr>
      </w:pPr>
      <w:r>
        <w:rPr>
          <w:rFonts w:ascii="Times New Roman" w:hAnsi="Times New Roman" w:cs="Times New Roman"/>
          <w:b/>
          <w:sz w:val="24"/>
          <w:szCs w:val="24"/>
        </w:rPr>
        <w:t>Tekući projekt T100001: Sanacija i održavanje nerazvrstanih prometnica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T100001</w:t>
            </w:r>
          </w:p>
        </w:tc>
        <w:tc>
          <w:tcPr>
            <w:tcW w:w="1834" w:type="dxa"/>
          </w:tcPr>
          <w:p>
            <w:pPr>
              <w:ind w:left="-108" w:right="-114"/>
              <w:jc w:val="center"/>
              <w:rPr>
                <w:b/>
                <w:bCs/>
                <w:color w:val="000000"/>
                <w:sz w:val="20"/>
                <w:szCs w:val="20"/>
              </w:rPr>
            </w:pPr>
            <w:r>
              <w:rPr>
                <w:b/>
                <w:bCs/>
                <w:color w:val="000000"/>
                <w:sz w:val="20"/>
                <w:szCs w:val="20"/>
              </w:rPr>
              <w:t>26.500,00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2"/>
        </w:numPr>
        <w:jc w:val="both"/>
        <w:rPr>
          <w:rFonts w:ascii="Times New Roman" w:hAnsi="Times New Roman" w:cs="Times New Roman"/>
          <w:b/>
          <w:sz w:val="24"/>
          <w:szCs w:val="24"/>
        </w:rPr>
      </w:pPr>
      <w:r>
        <w:rPr>
          <w:rFonts w:ascii="Times New Roman" w:hAnsi="Times New Roman" w:cs="Times New Roman"/>
          <w:b/>
          <w:sz w:val="24"/>
          <w:szCs w:val="24"/>
        </w:rPr>
        <w:t>Tekući projekt T100002: Održavanje vatrogasnih i poljskih putova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T100002</w:t>
            </w:r>
          </w:p>
        </w:tc>
        <w:tc>
          <w:tcPr>
            <w:tcW w:w="1834" w:type="dxa"/>
          </w:tcPr>
          <w:p>
            <w:pPr>
              <w:ind w:left="-108" w:right="-114"/>
              <w:jc w:val="center"/>
              <w:rPr>
                <w:b/>
                <w:bCs/>
                <w:color w:val="000000"/>
                <w:sz w:val="20"/>
                <w:szCs w:val="20"/>
              </w:rPr>
            </w:pPr>
            <w:r>
              <w:rPr>
                <w:b/>
                <w:bCs/>
                <w:color w:val="000000"/>
                <w:sz w:val="20"/>
                <w:szCs w:val="20"/>
              </w:rPr>
              <w:t>19.900,00</w:t>
            </w:r>
          </w:p>
        </w:tc>
        <w:tc>
          <w:tcPr>
            <w:tcW w:w="1693" w:type="dxa"/>
          </w:tcPr>
          <w:p>
            <w:pPr>
              <w:ind w:left="-108" w:right="-114"/>
              <w:jc w:val="center"/>
              <w:rPr>
                <w:b/>
                <w:bCs/>
                <w:color w:val="000000"/>
                <w:sz w:val="20"/>
                <w:szCs w:val="20"/>
              </w:rPr>
            </w:pPr>
            <w:r>
              <w:rPr>
                <w:b/>
                <w:bCs/>
                <w:color w:val="000000"/>
                <w:sz w:val="20"/>
                <w:szCs w:val="20"/>
              </w:rPr>
              <w:t>21.787,44</w:t>
            </w:r>
          </w:p>
        </w:tc>
        <w:tc>
          <w:tcPr>
            <w:tcW w:w="4698" w:type="dxa"/>
          </w:tcPr>
          <w:p>
            <w:pPr>
              <w:ind w:left="-108" w:right="-114"/>
              <w:jc w:val="center"/>
              <w:rPr>
                <w:b/>
                <w:bCs/>
                <w:color w:val="000000"/>
                <w:sz w:val="20"/>
                <w:szCs w:val="20"/>
              </w:rPr>
            </w:pPr>
            <w:r>
              <w:rPr>
                <w:b/>
                <w:bCs/>
                <w:color w:val="000000"/>
                <w:sz w:val="20"/>
                <w:szCs w:val="20"/>
              </w:rPr>
              <w:t>109,48%</w:t>
            </w:r>
          </w:p>
        </w:tc>
      </w:tr>
    </w:tbl>
    <w:p>
      <w:pPr>
        <w:jc w:val="both"/>
        <w:rPr>
          <w:rFonts w:ascii="Times New Roman" w:hAnsi="Times New Roman" w:cs="Times New Roman"/>
          <w:sz w:val="24"/>
          <w:szCs w:val="24"/>
        </w:rPr>
      </w:pPr>
      <w:r>
        <w:rPr>
          <w:rFonts w:ascii="Times New Roman" w:hAnsi="Times New Roman" w:cs="Times New Roman"/>
          <w:sz w:val="24"/>
          <w:szCs w:val="24"/>
        </w:rPr>
        <w:t>Kroz aktivnost T100002: Održavanje vatrogasnih i poljskih putova odnosi se na betoniranje i sanaciju oronulih putova.</w:t>
      </w:r>
    </w:p>
    <w:p>
      <w:pPr>
        <w:pStyle w:val="Odlomakpopisa"/>
        <w:numPr>
          <w:ilvl w:val="0"/>
          <w:numId w:val="32"/>
        </w:numPr>
        <w:jc w:val="both"/>
        <w:rPr>
          <w:rFonts w:ascii="Times New Roman" w:hAnsi="Times New Roman" w:cs="Times New Roman"/>
          <w:b/>
          <w:sz w:val="24"/>
          <w:szCs w:val="24"/>
        </w:rPr>
      </w:pPr>
      <w:r>
        <w:rPr>
          <w:rFonts w:ascii="Times New Roman" w:hAnsi="Times New Roman" w:cs="Times New Roman"/>
          <w:b/>
          <w:sz w:val="24"/>
          <w:szCs w:val="24"/>
        </w:rPr>
        <w:lastRenderedPageBreak/>
        <w:t>Tekući projekt T100003: Rekonstrukcija i asfaltiranje nerazvrstanih cesta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T100003</w:t>
            </w:r>
          </w:p>
        </w:tc>
        <w:tc>
          <w:tcPr>
            <w:tcW w:w="1834" w:type="dxa"/>
          </w:tcPr>
          <w:p>
            <w:pPr>
              <w:ind w:left="-108" w:right="-114"/>
              <w:jc w:val="center"/>
              <w:rPr>
                <w:b/>
                <w:bCs/>
                <w:color w:val="000000"/>
                <w:sz w:val="20"/>
                <w:szCs w:val="20"/>
              </w:rPr>
            </w:pPr>
            <w:r>
              <w:rPr>
                <w:b/>
                <w:bCs/>
                <w:color w:val="000000"/>
                <w:sz w:val="20"/>
                <w:szCs w:val="20"/>
              </w:rPr>
              <w:t>66.400,00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r>
        <w:rPr>
          <w:rFonts w:ascii="Times New Roman" w:hAnsi="Times New Roman" w:cs="Times New Roman"/>
          <w:sz w:val="24"/>
          <w:szCs w:val="24"/>
        </w:rPr>
        <w:t>Kroz aktivnost T100003: Rekonstrukcija i asfaltiranje nerazvrstanih cesta odnosi se na održavanju cesta prema ugovoru sa Ceste Šibenik d.o.o.</w:t>
      </w:r>
    </w:p>
    <w:p>
      <w:pPr>
        <w:jc w:val="both"/>
        <w:rPr>
          <w:rFonts w:ascii="Times New Roman" w:hAnsi="Times New Roman" w:cs="Times New Roman"/>
          <w:b/>
          <w:sz w:val="24"/>
          <w:szCs w:val="24"/>
        </w:rPr>
      </w:pPr>
      <w:r>
        <w:rPr>
          <w:rFonts w:ascii="Times New Roman" w:hAnsi="Times New Roman" w:cs="Times New Roman"/>
          <w:b/>
          <w:sz w:val="24"/>
          <w:szCs w:val="24"/>
        </w:rPr>
        <w:t>Program 1003: Održavanje groblja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1003</w:t>
            </w:r>
          </w:p>
        </w:tc>
        <w:tc>
          <w:tcPr>
            <w:tcW w:w="1835"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2.948,75</w:t>
            </w:r>
          </w:p>
        </w:tc>
        <w:tc>
          <w:tcPr>
            <w:tcW w:w="4697" w:type="dxa"/>
          </w:tcPr>
          <w:p>
            <w:pPr>
              <w:ind w:left="-108" w:right="-114"/>
              <w:jc w:val="center"/>
              <w:rPr>
                <w:b/>
                <w:bCs/>
                <w:color w:val="000000"/>
                <w:sz w:val="20"/>
                <w:szCs w:val="20"/>
              </w:rPr>
            </w:pPr>
            <w:r>
              <w:rPr>
                <w:b/>
                <w:bCs/>
                <w:color w:val="000000"/>
                <w:sz w:val="20"/>
                <w:szCs w:val="20"/>
              </w:rPr>
              <w:t>109,21%</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33"/>
        </w:numPr>
        <w:jc w:val="both"/>
        <w:rPr>
          <w:rFonts w:ascii="Times New Roman" w:hAnsi="Times New Roman" w:cs="Times New Roman"/>
          <w:b/>
          <w:sz w:val="24"/>
          <w:szCs w:val="24"/>
        </w:rPr>
      </w:pPr>
      <w:r>
        <w:rPr>
          <w:rFonts w:ascii="Times New Roman" w:hAnsi="Times New Roman" w:cs="Times New Roman"/>
          <w:b/>
          <w:sz w:val="24"/>
          <w:szCs w:val="24"/>
        </w:rPr>
        <w:t>Tekući projekt T100001: Tekuće održavanje groblja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T100001</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2.948,75</w:t>
            </w:r>
          </w:p>
        </w:tc>
        <w:tc>
          <w:tcPr>
            <w:tcW w:w="4698" w:type="dxa"/>
          </w:tcPr>
          <w:p>
            <w:pPr>
              <w:ind w:left="-108" w:right="-114"/>
              <w:jc w:val="center"/>
              <w:rPr>
                <w:b/>
                <w:bCs/>
                <w:color w:val="000000"/>
                <w:sz w:val="20"/>
                <w:szCs w:val="20"/>
              </w:rPr>
            </w:pPr>
            <w:r>
              <w:rPr>
                <w:b/>
                <w:bCs/>
                <w:color w:val="000000"/>
                <w:sz w:val="20"/>
                <w:szCs w:val="20"/>
              </w:rPr>
              <w:t>109,21%</w:t>
            </w:r>
          </w:p>
        </w:tc>
      </w:tr>
    </w:tbl>
    <w:p>
      <w:pPr>
        <w:jc w:val="both"/>
        <w:rPr>
          <w:rFonts w:ascii="Times New Roman" w:hAnsi="Times New Roman" w:cs="Times New Roman"/>
          <w:sz w:val="24"/>
          <w:szCs w:val="24"/>
        </w:rPr>
      </w:pPr>
      <w:r>
        <w:rPr>
          <w:rFonts w:ascii="Times New Roman" w:hAnsi="Times New Roman" w:cs="Times New Roman"/>
          <w:sz w:val="24"/>
          <w:szCs w:val="24"/>
        </w:rPr>
        <w:t>Kroz tekući projekt T100001: Tekuće održavanje groblja odnose se na troškove odvoza otpada sa groblja.</w:t>
      </w:r>
    </w:p>
    <w:p>
      <w:pPr>
        <w:jc w:val="both"/>
        <w:rPr>
          <w:rFonts w:ascii="Times New Roman" w:hAnsi="Times New Roman" w:cs="Times New Roman"/>
          <w:b/>
          <w:sz w:val="24"/>
          <w:szCs w:val="24"/>
        </w:rPr>
      </w:pPr>
      <w:r>
        <w:rPr>
          <w:rFonts w:ascii="Times New Roman" w:hAnsi="Times New Roman" w:cs="Times New Roman"/>
          <w:b/>
          <w:sz w:val="24"/>
          <w:szCs w:val="24"/>
        </w:rPr>
        <w:t>Program 1004: Održavanje javne rasvjete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1004</w:t>
            </w:r>
          </w:p>
        </w:tc>
        <w:tc>
          <w:tcPr>
            <w:tcW w:w="1835" w:type="dxa"/>
          </w:tcPr>
          <w:p>
            <w:pPr>
              <w:ind w:left="-108" w:right="-114"/>
              <w:jc w:val="center"/>
              <w:rPr>
                <w:b/>
                <w:bCs/>
                <w:color w:val="000000"/>
                <w:sz w:val="20"/>
                <w:szCs w:val="20"/>
              </w:rPr>
            </w:pPr>
            <w:r>
              <w:rPr>
                <w:b/>
                <w:bCs/>
                <w:color w:val="000000"/>
                <w:sz w:val="20"/>
                <w:szCs w:val="20"/>
              </w:rPr>
              <w:t>172.500,00</w:t>
            </w:r>
          </w:p>
        </w:tc>
        <w:tc>
          <w:tcPr>
            <w:tcW w:w="1693" w:type="dxa"/>
          </w:tcPr>
          <w:p>
            <w:pPr>
              <w:ind w:left="-108" w:right="-114"/>
              <w:jc w:val="center"/>
              <w:rPr>
                <w:b/>
                <w:bCs/>
                <w:color w:val="000000"/>
                <w:sz w:val="20"/>
                <w:szCs w:val="20"/>
              </w:rPr>
            </w:pPr>
            <w:r>
              <w:rPr>
                <w:b/>
                <w:bCs/>
                <w:color w:val="000000"/>
                <w:sz w:val="20"/>
                <w:szCs w:val="20"/>
              </w:rPr>
              <w:t>64.374,78</w:t>
            </w:r>
          </w:p>
        </w:tc>
        <w:tc>
          <w:tcPr>
            <w:tcW w:w="4697" w:type="dxa"/>
          </w:tcPr>
          <w:p>
            <w:pPr>
              <w:ind w:left="-108" w:right="-114"/>
              <w:jc w:val="center"/>
              <w:rPr>
                <w:b/>
                <w:bCs/>
                <w:color w:val="000000"/>
                <w:sz w:val="20"/>
                <w:szCs w:val="20"/>
              </w:rPr>
            </w:pPr>
            <w:r>
              <w:rPr>
                <w:b/>
                <w:bCs/>
                <w:color w:val="000000"/>
                <w:sz w:val="20"/>
                <w:szCs w:val="20"/>
              </w:rPr>
              <w:t>37,32%</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34"/>
        </w:numPr>
        <w:jc w:val="both"/>
        <w:rPr>
          <w:rFonts w:ascii="Times New Roman" w:hAnsi="Times New Roman" w:cs="Times New Roman"/>
          <w:b/>
          <w:sz w:val="24"/>
          <w:szCs w:val="24"/>
        </w:rPr>
      </w:pPr>
      <w:r>
        <w:rPr>
          <w:rFonts w:ascii="Times New Roman" w:hAnsi="Times New Roman" w:cs="Times New Roman"/>
          <w:b/>
          <w:sz w:val="24"/>
          <w:szCs w:val="24"/>
        </w:rPr>
        <w:t>Tekući projekt T100001: Utroška električne energije za javnu rasvjetu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T100001</w:t>
            </w:r>
          </w:p>
        </w:tc>
        <w:tc>
          <w:tcPr>
            <w:tcW w:w="1834" w:type="dxa"/>
          </w:tcPr>
          <w:p>
            <w:pPr>
              <w:ind w:left="-108" w:right="-114"/>
              <w:jc w:val="center"/>
              <w:rPr>
                <w:b/>
                <w:bCs/>
                <w:color w:val="000000"/>
                <w:sz w:val="20"/>
                <w:szCs w:val="20"/>
              </w:rPr>
            </w:pPr>
            <w:r>
              <w:rPr>
                <w:b/>
                <w:bCs/>
                <w:color w:val="000000"/>
                <w:sz w:val="20"/>
                <w:szCs w:val="20"/>
              </w:rPr>
              <w:t>92.900,00</w:t>
            </w:r>
          </w:p>
        </w:tc>
        <w:tc>
          <w:tcPr>
            <w:tcW w:w="1693" w:type="dxa"/>
          </w:tcPr>
          <w:p>
            <w:pPr>
              <w:ind w:left="-108" w:right="-114"/>
              <w:jc w:val="center"/>
              <w:rPr>
                <w:b/>
                <w:bCs/>
                <w:color w:val="000000"/>
                <w:sz w:val="20"/>
                <w:szCs w:val="20"/>
              </w:rPr>
            </w:pPr>
            <w:r>
              <w:rPr>
                <w:b/>
                <w:bCs/>
                <w:color w:val="000000"/>
                <w:sz w:val="20"/>
                <w:szCs w:val="20"/>
              </w:rPr>
              <w:t>22.747,72</w:t>
            </w:r>
          </w:p>
        </w:tc>
        <w:tc>
          <w:tcPr>
            <w:tcW w:w="4698" w:type="dxa"/>
          </w:tcPr>
          <w:p>
            <w:pPr>
              <w:ind w:left="-108" w:right="-114"/>
              <w:jc w:val="center"/>
              <w:rPr>
                <w:b/>
                <w:bCs/>
                <w:color w:val="000000"/>
                <w:sz w:val="20"/>
                <w:szCs w:val="20"/>
              </w:rPr>
            </w:pPr>
            <w:r>
              <w:rPr>
                <w:b/>
                <w:bCs/>
                <w:color w:val="000000"/>
                <w:sz w:val="20"/>
                <w:szCs w:val="20"/>
              </w:rPr>
              <w:t>24,49%</w:t>
            </w:r>
          </w:p>
        </w:tc>
      </w:tr>
    </w:tbl>
    <w:p>
      <w:pPr>
        <w:jc w:val="both"/>
        <w:rPr>
          <w:rFonts w:ascii="Times New Roman" w:hAnsi="Times New Roman" w:cs="Times New Roman"/>
          <w:sz w:val="24"/>
          <w:szCs w:val="24"/>
        </w:rPr>
      </w:pPr>
    </w:p>
    <w:p>
      <w:pPr>
        <w:pStyle w:val="Odlomakpopisa"/>
        <w:numPr>
          <w:ilvl w:val="0"/>
          <w:numId w:val="34"/>
        </w:numPr>
        <w:jc w:val="both"/>
        <w:rPr>
          <w:rFonts w:ascii="Times New Roman" w:hAnsi="Times New Roman" w:cs="Times New Roman"/>
          <w:b/>
          <w:sz w:val="24"/>
          <w:szCs w:val="24"/>
        </w:rPr>
      </w:pPr>
      <w:r>
        <w:rPr>
          <w:rFonts w:ascii="Times New Roman" w:hAnsi="Times New Roman" w:cs="Times New Roman"/>
          <w:b/>
          <w:sz w:val="24"/>
          <w:szCs w:val="24"/>
        </w:rPr>
        <w:t xml:space="preserve">Tekući projekt T100002: Tekuće i investicijsko održavanje javne rasvjete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lastRenderedPageBreak/>
              <w:t>T100002</w:t>
            </w:r>
          </w:p>
        </w:tc>
        <w:tc>
          <w:tcPr>
            <w:tcW w:w="1834" w:type="dxa"/>
          </w:tcPr>
          <w:p>
            <w:pPr>
              <w:ind w:left="-108" w:right="-114"/>
              <w:jc w:val="center"/>
              <w:rPr>
                <w:b/>
                <w:bCs/>
                <w:color w:val="000000"/>
                <w:sz w:val="20"/>
                <w:szCs w:val="20"/>
              </w:rPr>
            </w:pPr>
            <w:r>
              <w:rPr>
                <w:b/>
                <w:bCs/>
                <w:color w:val="000000"/>
                <w:sz w:val="20"/>
                <w:szCs w:val="20"/>
              </w:rPr>
              <w:t>79.600,00</w:t>
            </w:r>
          </w:p>
        </w:tc>
        <w:tc>
          <w:tcPr>
            <w:tcW w:w="1693" w:type="dxa"/>
          </w:tcPr>
          <w:p>
            <w:pPr>
              <w:ind w:left="-108" w:right="-114"/>
              <w:jc w:val="center"/>
              <w:rPr>
                <w:b/>
                <w:bCs/>
                <w:color w:val="000000"/>
                <w:sz w:val="20"/>
                <w:szCs w:val="20"/>
              </w:rPr>
            </w:pPr>
            <w:r>
              <w:rPr>
                <w:b/>
                <w:bCs/>
                <w:color w:val="000000"/>
                <w:sz w:val="20"/>
                <w:szCs w:val="20"/>
              </w:rPr>
              <w:t>41.627,06</w:t>
            </w:r>
          </w:p>
        </w:tc>
        <w:tc>
          <w:tcPr>
            <w:tcW w:w="4698" w:type="dxa"/>
          </w:tcPr>
          <w:p>
            <w:pPr>
              <w:ind w:left="-108" w:right="-114"/>
              <w:jc w:val="center"/>
              <w:rPr>
                <w:b/>
                <w:bCs/>
                <w:color w:val="000000"/>
                <w:sz w:val="20"/>
                <w:szCs w:val="20"/>
              </w:rPr>
            </w:pPr>
            <w:r>
              <w:rPr>
                <w:b/>
                <w:bCs/>
                <w:color w:val="000000"/>
                <w:sz w:val="20"/>
                <w:szCs w:val="20"/>
              </w:rPr>
              <w:t>52,30%</w:t>
            </w:r>
          </w:p>
        </w:tc>
      </w:tr>
    </w:tbl>
    <w:p>
      <w:pPr>
        <w:jc w:val="both"/>
        <w:rPr>
          <w:rFonts w:ascii="Times New Roman" w:hAnsi="Times New Roman" w:cs="Times New Roman"/>
          <w:sz w:val="24"/>
          <w:szCs w:val="24"/>
        </w:rPr>
      </w:pPr>
      <w:r>
        <w:rPr>
          <w:rFonts w:ascii="Times New Roman" w:hAnsi="Times New Roman" w:cs="Times New Roman"/>
          <w:sz w:val="24"/>
          <w:szCs w:val="24"/>
        </w:rPr>
        <w:t>Kroz tekući projekt T100002: Tekuće i investicijsko održavanje rasvjete odnosi se na troškove održavanja koje provodi Marzes d.o.o.</w:t>
      </w:r>
    </w:p>
    <w:p>
      <w:pPr>
        <w:jc w:val="both"/>
        <w:rPr>
          <w:rFonts w:ascii="Times New Roman" w:hAnsi="Times New Roman" w:cs="Times New Roman"/>
          <w:b/>
          <w:sz w:val="24"/>
          <w:szCs w:val="24"/>
        </w:rPr>
      </w:pPr>
      <w:r>
        <w:rPr>
          <w:rFonts w:ascii="Times New Roman" w:hAnsi="Times New Roman" w:cs="Times New Roman"/>
          <w:b/>
          <w:sz w:val="24"/>
          <w:szCs w:val="24"/>
        </w:rPr>
        <w:t>Program 1009: Mali komunalni zahvati po zaseocima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1009</w:t>
            </w:r>
          </w:p>
        </w:tc>
        <w:tc>
          <w:tcPr>
            <w:tcW w:w="1835" w:type="dxa"/>
          </w:tcPr>
          <w:p>
            <w:pPr>
              <w:ind w:left="-108" w:right="-114"/>
              <w:jc w:val="center"/>
              <w:rPr>
                <w:b/>
                <w:bCs/>
                <w:color w:val="000000"/>
                <w:sz w:val="20"/>
                <w:szCs w:val="20"/>
              </w:rPr>
            </w:pPr>
            <w:r>
              <w:rPr>
                <w:b/>
                <w:bCs/>
                <w:color w:val="000000"/>
                <w:sz w:val="20"/>
                <w:szCs w:val="20"/>
              </w:rPr>
              <w:t>6.600,00</w:t>
            </w:r>
          </w:p>
        </w:tc>
        <w:tc>
          <w:tcPr>
            <w:tcW w:w="1693" w:type="dxa"/>
          </w:tcPr>
          <w:p>
            <w:pPr>
              <w:ind w:left="-108" w:right="-114"/>
              <w:jc w:val="center"/>
              <w:rPr>
                <w:b/>
                <w:bCs/>
                <w:color w:val="000000"/>
                <w:sz w:val="20"/>
                <w:szCs w:val="20"/>
              </w:rPr>
            </w:pPr>
            <w:r>
              <w:rPr>
                <w:b/>
                <w:bCs/>
                <w:color w:val="000000"/>
                <w:sz w:val="20"/>
                <w:szCs w:val="20"/>
              </w:rPr>
              <w:t>7.147,65</w:t>
            </w:r>
          </w:p>
        </w:tc>
        <w:tc>
          <w:tcPr>
            <w:tcW w:w="4697" w:type="dxa"/>
          </w:tcPr>
          <w:p>
            <w:pPr>
              <w:ind w:left="-108" w:right="-114"/>
              <w:jc w:val="center"/>
              <w:rPr>
                <w:b/>
                <w:bCs/>
                <w:color w:val="000000"/>
                <w:sz w:val="20"/>
                <w:szCs w:val="20"/>
              </w:rPr>
            </w:pPr>
            <w:r>
              <w:rPr>
                <w:b/>
                <w:bCs/>
                <w:color w:val="000000"/>
                <w:sz w:val="20"/>
                <w:szCs w:val="20"/>
              </w:rPr>
              <w:t>108,30%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35"/>
        </w:numPr>
        <w:jc w:val="both"/>
        <w:rPr>
          <w:rFonts w:ascii="Times New Roman" w:hAnsi="Times New Roman" w:cs="Times New Roman"/>
          <w:b/>
          <w:sz w:val="24"/>
          <w:szCs w:val="24"/>
        </w:rPr>
      </w:pPr>
      <w:r>
        <w:rPr>
          <w:rFonts w:ascii="Times New Roman" w:hAnsi="Times New Roman" w:cs="Times New Roman"/>
          <w:b/>
          <w:sz w:val="24"/>
          <w:szCs w:val="24"/>
        </w:rPr>
        <w:t xml:space="preserve">Tekući projekt T100001: Mali komunalni zahvati po zaseocima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T100001</w:t>
            </w:r>
          </w:p>
        </w:tc>
        <w:tc>
          <w:tcPr>
            <w:tcW w:w="1834" w:type="dxa"/>
          </w:tcPr>
          <w:p>
            <w:pPr>
              <w:ind w:left="-108" w:right="-114"/>
              <w:jc w:val="center"/>
              <w:rPr>
                <w:b/>
                <w:bCs/>
                <w:color w:val="000000"/>
                <w:sz w:val="20"/>
                <w:szCs w:val="20"/>
              </w:rPr>
            </w:pPr>
            <w:r>
              <w:rPr>
                <w:b/>
                <w:bCs/>
                <w:color w:val="000000"/>
                <w:sz w:val="20"/>
                <w:szCs w:val="20"/>
              </w:rPr>
              <w:t>6.600,00</w:t>
            </w:r>
          </w:p>
        </w:tc>
        <w:tc>
          <w:tcPr>
            <w:tcW w:w="1693" w:type="dxa"/>
          </w:tcPr>
          <w:p>
            <w:pPr>
              <w:ind w:left="-108" w:right="-114"/>
              <w:jc w:val="center"/>
              <w:rPr>
                <w:b/>
                <w:bCs/>
                <w:color w:val="000000"/>
                <w:sz w:val="20"/>
                <w:szCs w:val="20"/>
              </w:rPr>
            </w:pPr>
            <w:r>
              <w:rPr>
                <w:b/>
                <w:bCs/>
                <w:color w:val="000000"/>
                <w:sz w:val="20"/>
                <w:szCs w:val="20"/>
              </w:rPr>
              <w:t>7.147,65</w:t>
            </w:r>
          </w:p>
        </w:tc>
        <w:tc>
          <w:tcPr>
            <w:tcW w:w="4698" w:type="dxa"/>
          </w:tcPr>
          <w:p>
            <w:pPr>
              <w:ind w:left="-108" w:right="-114"/>
              <w:jc w:val="center"/>
              <w:rPr>
                <w:b/>
                <w:bCs/>
                <w:color w:val="000000"/>
                <w:sz w:val="20"/>
                <w:szCs w:val="20"/>
              </w:rPr>
            </w:pPr>
            <w:r>
              <w:rPr>
                <w:b/>
                <w:bCs/>
                <w:color w:val="000000"/>
                <w:sz w:val="20"/>
                <w:szCs w:val="20"/>
              </w:rPr>
              <w:t>108,30%</w:t>
            </w:r>
          </w:p>
        </w:tc>
      </w:tr>
    </w:tbl>
    <w:p>
      <w:pPr>
        <w:jc w:val="both"/>
        <w:rPr>
          <w:rFonts w:ascii="Times New Roman" w:hAnsi="Times New Roman" w:cs="Times New Roman"/>
          <w:sz w:val="24"/>
          <w:szCs w:val="24"/>
        </w:rPr>
      </w:pPr>
      <w:r>
        <w:rPr>
          <w:rFonts w:ascii="Times New Roman" w:hAnsi="Times New Roman" w:cs="Times New Roman"/>
          <w:sz w:val="24"/>
          <w:szCs w:val="24"/>
        </w:rPr>
        <w:t>Kroz tekući projekt T100001: Mali komunalni zahvati po zaseocima odnosi se na rekonstrukciju manjih zahvata.</w:t>
      </w:r>
    </w:p>
    <w:p>
      <w:pPr>
        <w:jc w:val="both"/>
        <w:rPr>
          <w:rFonts w:ascii="Times New Roman" w:hAnsi="Times New Roman" w:cs="Times New Roman"/>
          <w:b/>
          <w:sz w:val="24"/>
          <w:szCs w:val="24"/>
        </w:rPr>
      </w:pPr>
      <w:r>
        <w:rPr>
          <w:rFonts w:ascii="Times New Roman" w:hAnsi="Times New Roman" w:cs="Times New Roman"/>
          <w:b/>
          <w:sz w:val="24"/>
          <w:szCs w:val="24"/>
        </w:rPr>
        <w:t>Program 1012: Održavanje javnih površina na kojima nije dopušten promet motornih vozila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1012</w:t>
            </w:r>
          </w:p>
        </w:tc>
        <w:tc>
          <w:tcPr>
            <w:tcW w:w="1835" w:type="dxa"/>
          </w:tcPr>
          <w:p>
            <w:pPr>
              <w:ind w:left="-108" w:right="-114"/>
              <w:jc w:val="center"/>
              <w:rPr>
                <w:b/>
                <w:bCs/>
                <w:color w:val="000000"/>
                <w:sz w:val="20"/>
                <w:szCs w:val="20"/>
              </w:rPr>
            </w:pPr>
            <w:r>
              <w:rPr>
                <w:b/>
                <w:bCs/>
                <w:color w:val="000000"/>
                <w:sz w:val="20"/>
                <w:szCs w:val="20"/>
              </w:rPr>
              <w:t>6.600,00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36"/>
        </w:numPr>
        <w:jc w:val="both"/>
        <w:rPr>
          <w:rFonts w:ascii="Times New Roman" w:hAnsi="Times New Roman" w:cs="Times New Roman"/>
          <w:b/>
          <w:sz w:val="24"/>
          <w:szCs w:val="24"/>
        </w:rPr>
      </w:pPr>
      <w:r>
        <w:rPr>
          <w:rFonts w:ascii="Times New Roman" w:hAnsi="Times New Roman" w:cs="Times New Roman"/>
          <w:b/>
          <w:sz w:val="24"/>
          <w:szCs w:val="24"/>
        </w:rPr>
        <w:t>Aktivnost A100001: Održavanje javnih plaža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3.300,00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6"/>
        </w:numPr>
        <w:jc w:val="both"/>
        <w:rPr>
          <w:rFonts w:ascii="Times New Roman" w:hAnsi="Times New Roman" w:cs="Times New Roman"/>
          <w:b/>
          <w:sz w:val="24"/>
          <w:szCs w:val="24"/>
        </w:rPr>
      </w:pPr>
      <w:r>
        <w:rPr>
          <w:rFonts w:ascii="Times New Roman" w:hAnsi="Times New Roman" w:cs="Times New Roman"/>
          <w:b/>
          <w:sz w:val="24"/>
          <w:szCs w:val="24"/>
        </w:rPr>
        <w:t>Aktivnost A100002: Održavanje pješačkih staza i obalne šetnice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3.300,00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Program 1001: Izgradnja javne rasvjete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1001</w:t>
            </w:r>
          </w:p>
        </w:tc>
        <w:tc>
          <w:tcPr>
            <w:tcW w:w="1835" w:type="dxa"/>
          </w:tcPr>
          <w:p>
            <w:pPr>
              <w:ind w:left="-108" w:right="-114"/>
              <w:jc w:val="center"/>
              <w:rPr>
                <w:b/>
                <w:bCs/>
                <w:color w:val="000000"/>
                <w:sz w:val="20"/>
                <w:szCs w:val="20"/>
              </w:rPr>
            </w:pPr>
            <w:r>
              <w:rPr>
                <w:b/>
                <w:bCs/>
                <w:color w:val="000000"/>
                <w:sz w:val="20"/>
                <w:szCs w:val="20"/>
              </w:rPr>
              <w:t>59.300,00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37"/>
        </w:numPr>
        <w:jc w:val="both"/>
        <w:rPr>
          <w:rFonts w:ascii="Times New Roman" w:hAnsi="Times New Roman" w:cs="Times New Roman"/>
          <w:b/>
          <w:sz w:val="24"/>
          <w:szCs w:val="24"/>
        </w:rPr>
      </w:pPr>
      <w:r>
        <w:rPr>
          <w:rFonts w:ascii="Times New Roman" w:hAnsi="Times New Roman" w:cs="Times New Roman"/>
          <w:b/>
          <w:sz w:val="24"/>
          <w:szCs w:val="24"/>
        </w:rPr>
        <w:t>Aktivnost A100001: Stručni nadzor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1.300,00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7"/>
        </w:numPr>
        <w:jc w:val="both"/>
        <w:rPr>
          <w:rFonts w:ascii="Times New Roman" w:hAnsi="Times New Roman" w:cs="Times New Roman"/>
          <w:b/>
          <w:sz w:val="24"/>
          <w:szCs w:val="24"/>
        </w:rPr>
      </w:pPr>
      <w:r>
        <w:rPr>
          <w:rFonts w:ascii="Times New Roman" w:hAnsi="Times New Roman" w:cs="Times New Roman"/>
          <w:b/>
          <w:sz w:val="24"/>
          <w:szCs w:val="24"/>
        </w:rPr>
        <w:t>Kapitalni projekt K100003: Gradnja javne rasvjete Lugovići</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K100003</w:t>
            </w:r>
          </w:p>
        </w:tc>
        <w:tc>
          <w:tcPr>
            <w:tcW w:w="1834" w:type="dxa"/>
          </w:tcPr>
          <w:p>
            <w:pPr>
              <w:ind w:left="-108" w:right="-114"/>
              <w:jc w:val="center"/>
              <w:rPr>
                <w:b/>
                <w:bCs/>
                <w:color w:val="000000"/>
                <w:sz w:val="20"/>
                <w:szCs w:val="20"/>
              </w:rPr>
            </w:pPr>
            <w:r>
              <w:rPr>
                <w:b/>
                <w:bCs/>
                <w:color w:val="000000"/>
                <w:sz w:val="20"/>
                <w:szCs w:val="20"/>
              </w:rPr>
              <w:t>26.500,00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7"/>
        </w:numPr>
        <w:jc w:val="both"/>
        <w:rPr>
          <w:rFonts w:ascii="Times New Roman" w:hAnsi="Times New Roman" w:cs="Times New Roman"/>
          <w:b/>
          <w:sz w:val="24"/>
          <w:szCs w:val="24"/>
        </w:rPr>
      </w:pPr>
      <w:r>
        <w:rPr>
          <w:rFonts w:ascii="Times New Roman" w:hAnsi="Times New Roman" w:cs="Times New Roman"/>
          <w:b/>
          <w:sz w:val="24"/>
          <w:szCs w:val="24"/>
        </w:rPr>
        <w:t>Kapitalni projekt K100006: Ugradnja led rasvjetnih tijela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K100006</w:t>
            </w:r>
          </w:p>
        </w:tc>
        <w:tc>
          <w:tcPr>
            <w:tcW w:w="1834" w:type="dxa"/>
          </w:tcPr>
          <w:p>
            <w:pPr>
              <w:ind w:left="-108" w:right="-114"/>
              <w:jc w:val="center"/>
              <w:rPr>
                <w:b/>
                <w:bCs/>
                <w:color w:val="000000"/>
                <w:sz w:val="20"/>
                <w:szCs w:val="20"/>
              </w:rPr>
            </w:pPr>
            <w:r>
              <w:rPr>
                <w:b/>
                <w:bCs/>
                <w:color w:val="000000"/>
                <w:sz w:val="20"/>
                <w:szCs w:val="20"/>
              </w:rPr>
              <w:t>31.500,00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1004: Asfaltiranje i rekonstrukcija ulica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1004</w:t>
            </w:r>
          </w:p>
        </w:tc>
        <w:tc>
          <w:tcPr>
            <w:tcW w:w="1835" w:type="dxa"/>
          </w:tcPr>
          <w:p>
            <w:pPr>
              <w:ind w:left="-108" w:right="-114"/>
              <w:jc w:val="center"/>
              <w:rPr>
                <w:b/>
                <w:bCs/>
                <w:color w:val="000000"/>
                <w:sz w:val="20"/>
                <w:szCs w:val="20"/>
              </w:rPr>
            </w:pPr>
            <w:r>
              <w:rPr>
                <w:b/>
                <w:bCs/>
                <w:color w:val="000000"/>
                <w:sz w:val="20"/>
                <w:szCs w:val="20"/>
              </w:rPr>
              <w:t>95.600,00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38"/>
        </w:numPr>
        <w:jc w:val="both"/>
        <w:rPr>
          <w:rFonts w:ascii="Times New Roman" w:hAnsi="Times New Roman" w:cs="Times New Roman"/>
          <w:b/>
          <w:sz w:val="24"/>
          <w:szCs w:val="24"/>
        </w:rPr>
      </w:pPr>
      <w:r>
        <w:rPr>
          <w:rFonts w:ascii="Times New Roman" w:hAnsi="Times New Roman" w:cs="Times New Roman"/>
          <w:b/>
          <w:sz w:val="24"/>
          <w:szCs w:val="24"/>
        </w:rPr>
        <w:t>Aktivnost A100001: Stručni nadzor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8"/>
        </w:numPr>
        <w:jc w:val="both"/>
        <w:rPr>
          <w:rFonts w:ascii="Times New Roman" w:hAnsi="Times New Roman" w:cs="Times New Roman"/>
          <w:b/>
          <w:sz w:val="24"/>
          <w:szCs w:val="24"/>
        </w:rPr>
      </w:pPr>
      <w:r>
        <w:rPr>
          <w:rFonts w:ascii="Times New Roman" w:hAnsi="Times New Roman" w:cs="Times New Roman"/>
          <w:b/>
          <w:sz w:val="24"/>
          <w:szCs w:val="24"/>
        </w:rPr>
        <w:t>Kapitalni projekt K100015: Asfaltiranje prometnice Bure-Vrulje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K100015</w:t>
            </w:r>
          </w:p>
        </w:tc>
        <w:tc>
          <w:tcPr>
            <w:tcW w:w="1834" w:type="dxa"/>
          </w:tcPr>
          <w:p>
            <w:pPr>
              <w:ind w:left="-108" w:right="-114"/>
              <w:jc w:val="center"/>
              <w:rPr>
                <w:b/>
                <w:bCs/>
                <w:color w:val="000000"/>
                <w:sz w:val="20"/>
                <w:szCs w:val="20"/>
              </w:rPr>
            </w:pPr>
            <w:r>
              <w:rPr>
                <w:b/>
                <w:bCs/>
                <w:color w:val="000000"/>
                <w:sz w:val="20"/>
                <w:szCs w:val="20"/>
              </w:rPr>
              <w:t>92.900,00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1006: Izgradnja dječjih igrališta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1006</w:t>
            </w:r>
          </w:p>
        </w:tc>
        <w:tc>
          <w:tcPr>
            <w:tcW w:w="1835" w:type="dxa"/>
          </w:tcPr>
          <w:p>
            <w:pPr>
              <w:ind w:left="-108" w:right="-114"/>
              <w:jc w:val="center"/>
              <w:rPr>
                <w:b/>
                <w:bCs/>
                <w:color w:val="000000"/>
                <w:sz w:val="20"/>
                <w:szCs w:val="20"/>
              </w:rPr>
            </w:pPr>
            <w:r>
              <w:rPr>
                <w:b/>
                <w:bCs/>
                <w:color w:val="000000"/>
                <w:sz w:val="20"/>
                <w:szCs w:val="20"/>
              </w:rPr>
              <w:t>75.700,00</w:t>
            </w:r>
          </w:p>
        </w:tc>
        <w:tc>
          <w:tcPr>
            <w:tcW w:w="1693" w:type="dxa"/>
          </w:tcPr>
          <w:p>
            <w:pPr>
              <w:ind w:left="-108" w:right="-114"/>
              <w:jc w:val="center"/>
              <w:rPr>
                <w:b/>
                <w:bCs/>
                <w:color w:val="000000"/>
                <w:sz w:val="20"/>
                <w:szCs w:val="20"/>
              </w:rPr>
            </w:pPr>
            <w:r>
              <w:rPr>
                <w:b/>
                <w:bCs/>
                <w:color w:val="000000"/>
                <w:sz w:val="20"/>
                <w:szCs w:val="20"/>
              </w:rPr>
              <w:t>1.400,00</w:t>
            </w:r>
          </w:p>
        </w:tc>
        <w:tc>
          <w:tcPr>
            <w:tcW w:w="4697" w:type="dxa"/>
          </w:tcPr>
          <w:p>
            <w:pPr>
              <w:ind w:left="-108" w:right="-114"/>
              <w:jc w:val="center"/>
              <w:rPr>
                <w:b/>
                <w:bCs/>
                <w:color w:val="000000"/>
                <w:sz w:val="20"/>
                <w:szCs w:val="20"/>
              </w:rPr>
            </w:pPr>
            <w:r>
              <w:rPr>
                <w:b/>
                <w:bCs/>
                <w:color w:val="000000"/>
                <w:sz w:val="20"/>
                <w:szCs w:val="20"/>
              </w:rPr>
              <w:t>1,85%</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39"/>
        </w:numPr>
        <w:jc w:val="both"/>
        <w:rPr>
          <w:rFonts w:ascii="Times New Roman" w:hAnsi="Times New Roman" w:cs="Times New Roman"/>
          <w:b/>
          <w:sz w:val="24"/>
          <w:szCs w:val="24"/>
        </w:rPr>
      </w:pPr>
      <w:r>
        <w:rPr>
          <w:rFonts w:ascii="Times New Roman" w:hAnsi="Times New Roman" w:cs="Times New Roman"/>
          <w:b/>
          <w:sz w:val="24"/>
          <w:szCs w:val="24"/>
        </w:rPr>
        <w:t>Aktivnost A100001: Stručni nadzor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A100003</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39"/>
        </w:numPr>
        <w:jc w:val="both"/>
        <w:rPr>
          <w:rFonts w:ascii="Times New Roman" w:hAnsi="Times New Roman" w:cs="Times New Roman"/>
          <w:b/>
          <w:sz w:val="24"/>
          <w:szCs w:val="24"/>
        </w:rPr>
      </w:pPr>
      <w:r>
        <w:rPr>
          <w:rFonts w:ascii="Times New Roman" w:hAnsi="Times New Roman" w:cs="Times New Roman"/>
          <w:b/>
          <w:sz w:val="24"/>
          <w:szCs w:val="24"/>
        </w:rPr>
        <w:t>Kapitalni projekt K100002:  Izgradnja dječjeg igrališta u Novom Naselju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K100002</w:t>
            </w:r>
          </w:p>
        </w:tc>
        <w:tc>
          <w:tcPr>
            <w:tcW w:w="1834" w:type="dxa"/>
          </w:tcPr>
          <w:p>
            <w:pPr>
              <w:ind w:left="-108" w:right="-114"/>
              <w:jc w:val="center"/>
              <w:rPr>
                <w:b/>
                <w:bCs/>
                <w:color w:val="000000"/>
                <w:sz w:val="20"/>
                <w:szCs w:val="20"/>
              </w:rPr>
            </w:pPr>
            <w:r>
              <w:rPr>
                <w:b/>
                <w:bCs/>
                <w:color w:val="000000"/>
                <w:sz w:val="20"/>
                <w:szCs w:val="20"/>
              </w:rPr>
              <w:t>46.500,00</w:t>
            </w:r>
          </w:p>
        </w:tc>
        <w:tc>
          <w:tcPr>
            <w:tcW w:w="1693" w:type="dxa"/>
          </w:tcPr>
          <w:p>
            <w:pPr>
              <w:ind w:left="-108" w:right="-114"/>
              <w:jc w:val="center"/>
              <w:rPr>
                <w:b/>
                <w:bCs/>
                <w:color w:val="000000"/>
                <w:sz w:val="20"/>
                <w:szCs w:val="20"/>
              </w:rPr>
            </w:pPr>
            <w:r>
              <w:rPr>
                <w:b/>
                <w:bCs/>
                <w:color w:val="000000"/>
                <w:sz w:val="20"/>
                <w:szCs w:val="20"/>
              </w:rPr>
              <w:t>1.400,00</w:t>
            </w:r>
          </w:p>
        </w:tc>
        <w:tc>
          <w:tcPr>
            <w:tcW w:w="4698" w:type="dxa"/>
          </w:tcPr>
          <w:p>
            <w:pPr>
              <w:ind w:left="-108" w:right="-114"/>
              <w:jc w:val="center"/>
              <w:rPr>
                <w:b/>
                <w:bCs/>
                <w:color w:val="000000"/>
                <w:sz w:val="20"/>
                <w:szCs w:val="20"/>
              </w:rPr>
            </w:pPr>
            <w:r>
              <w:rPr>
                <w:b/>
                <w:bCs/>
                <w:color w:val="000000"/>
                <w:sz w:val="20"/>
                <w:szCs w:val="20"/>
              </w:rPr>
              <w:t>3,01%</w:t>
            </w:r>
          </w:p>
        </w:tc>
      </w:tr>
    </w:tbl>
    <w:p>
      <w:pPr>
        <w:jc w:val="both"/>
        <w:rPr>
          <w:rFonts w:ascii="Times New Roman" w:hAnsi="Times New Roman" w:cs="Times New Roman"/>
          <w:sz w:val="24"/>
          <w:szCs w:val="24"/>
        </w:rPr>
      </w:pPr>
      <w:r>
        <w:rPr>
          <w:rFonts w:ascii="Times New Roman" w:hAnsi="Times New Roman" w:cs="Times New Roman"/>
          <w:sz w:val="24"/>
          <w:szCs w:val="24"/>
        </w:rPr>
        <w:t>Kroz kapitalni projekt K100002: Izgradnja dječjeg igrališta u Novom Naselju odnosi se na pripremu terena za igralište.</w:t>
      </w:r>
    </w:p>
    <w:p>
      <w:pPr>
        <w:pStyle w:val="Odlomakpopisa"/>
        <w:numPr>
          <w:ilvl w:val="0"/>
          <w:numId w:val="39"/>
        </w:numPr>
        <w:jc w:val="both"/>
        <w:rPr>
          <w:rFonts w:ascii="Times New Roman" w:hAnsi="Times New Roman" w:cs="Times New Roman"/>
          <w:b/>
          <w:sz w:val="24"/>
          <w:szCs w:val="24"/>
        </w:rPr>
      </w:pPr>
      <w:r>
        <w:rPr>
          <w:rFonts w:ascii="Times New Roman" w:hAnsi="Times New Roman" w:cs="Times New Roman"/>
          <w:b/>
          <w:sz w:val="24"/>
          <w:szCs w:val="24"/>
        </w:rPr>
        <w:t>Kapitalni projekt K100003:  Izgradnja dječjeg igrališta u Carima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K100003</w:t>
            </w:r>
          </w:p>
        </w:tc>
        <w:tc>
          <w:tcPr>
            <w:tcW w:w="1834" w:type="dxa"/>
          </w:tcPr>
          <w:p>
            <w:pPr>
              <w:ind w:left="-108" w:right="-114"/>
              <w:jc w:val="center"/>
              <w:rPr>
                <w:b/>
                <w:bCs/>
                <w:color w:val="000000"/>
                <w:sz w:val="20"/>
                <w:szCs w:val="20"/>
              </w:rPr>
            </w:pPr>
            <w:r>
              <w:rPr>
                <w:b/>
                <w:bCs/>
                <w:color w:val="000000"/>
                <w:sz w:val="20"/>
                <w:szCs w:val="20"/>
              </w:rPr>
              <w:t>26.500,00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1007: Izgradnja i opremanje zgrade Općine Bilice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lastRenderedPageBreak/>
              <w:t>1007</w:t>
            </w:r>
          </w:p>
        </w:tc>
        <w:tc>
          <w:tcPr>
            <w:tcW w:w="1835" w:type="dxa"/>
          </w:tcPr>
          <w:p>
            <w:pPr>
              <w:ind w:left="-108" w:right="-114"/>
              <w:jc w:val="center"/>
              <w:rPr>
                <w:b/>
                <w:bCs/>
                <w:color w:val="000000"/>
                <w:sz w:val="20"/>
                <w:szCs w:val="20"/>
              </w:rPr>
            </w:pPr>
            <w:r>
              <w:rPr>
                <w:b/>
                <w:bCs/>
                <w:color w:val="000000"/>
                <w:sz w:val="20"/>
                <w:szCs w:val="20"/>
              </w:rPr>
              <w:t>134.000,00</w:t>
            </w:r>
          </w:p>
        </w:tc>
        <w:tc>
          <w:tcPr>
            <w:tcW w:w="1693" w:type="dxa"/>
          </w:tcPr>
          <w:p>
            <w:pPr>
              <w:ind w:left="-108" w:right="-114"/>
              <w:jc w:val="center"/>
              <w:rPr>
                <w:b/>
                <w:bCs/>
                <w:color w:val="000000"/>
                <w:sz w:val="20"/>
                <w:szCs w:val="20"/>
              </w:rPr>
            </w:pPr>
            <w:r>
              <w:rPr>
                <w:b/>
                <w:bCs/>
                <w:color w:val="000000"/>
                <w:sz w:val="20"/>
                <w:szCs w:val="20"/>
              </w:rPr>
              <w:t>240.221,01</w:t>
            </w:r>
          </w:p>
        </w:tc>
        <w:tc>
          <w:tcPr>
            <w:tcW w:w="4697" w:type="dxa"/>
          </w:tcPr>
          <w:p>
            <w:pPr>
              <w:ind w:left="-108" w:right="-114"/>
              <w:jc w:val="center"/>
              <w:rPr>
                <w:b/>
                <w:bCs/>
                <w:color w:val="000000"/>
                <w:sz w:val="20"/>
                <w:szCs w:val="20"/>
              </w:rPr>
            </w:pPr>
            <w:r>
              <w:rPr>
                <w:b/>
                <w:bCs/>
                <w:color w:val="000000"/>
                <w:sz w:val="20"/>
                <w:szCs w:val="20"/>
              </w:rPr>
              <w:t>179,27%</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40"/>
        </w:numPr>
        <w:jc w:val="both"/>
        <w:rPr>
          <w:rFonts w:ascii="Times New Roman" w:hAnsi="Times New Roman" w:cs="Times New Roman"/>
          <w:b/>
          <w:sz w:val="24"/>
          <w:szCs w:val="24"/>
        </w:rPr>
      </w:pPr>
      <w:r>
        <w:rPr>
          <w:rFonts w:ascii="Times New Roman" w:hAnsi="Times New Roman" w:cs="Times New Roman"/>
          <w:b/>
          <w:sz w:val="24"/>
          <w:szCs w:val="24"/>
        </w:rPr>
        <w:t>Aktivnost A100002: Stručni nadzor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1.300,00</w:t>
            </w:r>
          </w:p>
        </w:tc>
        <w:tc>
          <w:tcPr>
            <w:tcW w:w="1693" w:type="dxa"/>
          </w:tcPr>
          <w:p>
            <w:pPr>
              <w:ind w:left="-108" w:right="-114"/>
              <w:jc w:val="center"/>
              <w:rPr>
                <w:b/>
                <w:bCs/>
                <w:color w:val="000000"/>
                <w:sz w:val="20"/>
                <w:szCs w:val="20"/>
              </w:rPr>
            </w:pPr>
            <w:r>
              <w:rPr>
                <w:b/>
                <w:bCs/>
                <w:color w:val="000000"/>
                <w:sz w:val="20"/>
                <w:szCs w:val="20"/>
              </w:rPr>
              <w:t>1.285,75</w:t>
            </w:r>
          </w:p>
        </w:tc>
        <w:tc>
          <w:tcPr>
            <w:tcW w:w="4698" w:type="dxa"/>
          </w:tcPr>
          <w:p>
            <w:pPr>
              <w:ind w:left="-108" w:right="-114"/>
              <w:jc w:val="center"/>
              <w:rPr>
                <w:b/>
                <w:bCs/>
                <w:color w:val="000000"/>
                <w:sz w:val="20"/>
                <w:szCs w:val="20"/>
              </w:rPr>
            </w:pPr>
            <w:r>
              <w:rPr>
                <w:b/>
                <w:bCs/>
                <w:color w:val="000000"/>
                <w:sz w:val="20"/>
                <w:szCs w:val="20"/>
              </w:rPr>
              <w:t>98,90%</w:t>
            </w:r>
          </w:p>
        </w:tc>
      </w:tr>
    </w:tbl>
    <w:p>
      <w:pPr>
        <w:jc w:val="both"/>
        <w:rPr>
          <w:rFonts w:ascii="Times New Roman" w:hAnsi="Times New Roman" w:cs="Times New Roman"/>
          <w:sz w:val="24"/>
          <w:szCs w:val="24"/>
        </w:rPr>
      </w:pPr>
    </w:p>
    <w:p>
      <w:pPr>
        <w:pStyle w:val="Odlomakpopisa"/>
        <w:numPr>
          <w:ilvl w:val="0"/>
          <w:numId w:val="40"/>
        </w:numPr>
        <w:jc w:val="both"/>
        <w:rPr>
          <w:rFonts w:ascii="Times New Roman" w:hAnsi="Times New Roman" w:cs="Times New Roman"/>
          <w:b/>
          <w:sz w:val="24"/>
          <w:szCs w:val="24"/>
        </w:rPr>
      </w:pPr>
      <w:r>
        <w:rPr>
          <w:rFonts w:ascii="Times New Roman" w:hAnsi="Times New Roman" w:cs="Times New Roman"/>
          <w:b/>
          <w:sz w:val="24"/>
          <w:szCs w:val="24"/>
        </w:rPr>
        <w:t>Kapitalni projekt K100001: Izgradnja i opremanje zgrade Općine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K100001</w:t>
            </w:r>
          </w:p>
        </w:tc>
        <w:tc>
          <w:tcPr>
            <w:tcW w:w="1834" w:type="dxa"/>
          </w:tcPr>
          <w:p>
            <w:pPr>
              <w:ind w:left="-108" w:right="-114"/>
              <w:jc w:val="center"/>
              <w:rPr>
                <w:b/>
                <w:bCs/>
                <w:color w:val="000000"/>
                <w:sz w:val="20"/>
                <w:szCs w:val="20"/>
              </w:rPr>
            </w:pPr>
            <w:r>
              <w:rPr>
                <w:b/>
                <w:bCs/>
                <w:color w:val="000000"/>
                <w:sz w:val="20"/>
                <w:szCs w:val="20"/>
              </w:rPr>
              <w:t>132.700,00</w:t>
            </w:r>
          </w:p>
        </w:tc>
        <w:tc>
          <w:tcPr>
            <w:tcW w:w="1693" w:type="dxa"/>
          </w:tcPr>
          <w:p>
            <w:pPr>
              <w:ind w:left="-108" w:right="-114"/>
              <w:jc w:val="center"/>
              <w:rPr>
                <w:b/>
                <w:bCs/>
                <w:color w:val="000000"/>
                <w:sz w:val="20"/>
                <w:szCs w:val="20"/>
              </w:rPr>
            </w:pPr>
            <w:r>
              <w:rPr>
                <w:b/>
                <w:bCs/>
                <w:color w:val="000000"/>
                <w:sz w:val="20"/>
                <w:szCs w:val="20"/>
              </w:rPr>
              <w:t>238.935,26</w:t>
            </w:r>
          </w:p>
        </w:tc>
        <w:tc>
          <w:tcPr>
            <w:tcW w:w="4698" w:type="dxa"/>
          </w:tcPr>
          <w:p>
            <w:pPr>
              <w:ind w:left="-108" w:right="-114"/>
              <w:jc w:val="center"/>
              <w:rPr>
                <w:b/>
                <w:bCs/>
                <w:color w:val="000000"/>
                <w:sz w:val="20"/>
                <w:szCs w:val="20"/>
              </w:rPr>
            </w:pPr>
            <w:r>
              <w:rPr>
                <w:b/>
                <w:bCs/>
                <w:color w:val="000000"/>
                <w:sz w:val="20"/>
                <w:szCs w:val="20"/>
              </w:rPr>
              <w:t>180,06%</w:t>
            </w:r>
          </w:p>
        </w:tc>
      </w:tr>
    </w:tbl>
    <w:p>
      <w:pPr>
        <w:jc w:val="both"/>
        <w:rPr>
          <w:rFonts w:ascii="Times New Roman" w:hAnsi="Times New Roman" w:cs="Times New Roman"/>
          <w:sz w:val="24"/>
          <w:szCs w:val="24"/>
        </w:rPr>
      </w:pPr>
      <w:r>
        <w:rPr>
          <w:rFonts w:ascii="Times New Roman" w:hAnsi="Times New Roman" w:cs="Times New Roman"/>
          <w:sz w:val="24"/>
          <w:szCs w:val="24"/>
        </w:rPr>
        <w:t>Kroz kapitalni projekt K100001: Izgradnja i opremanje zgrade Općine odnosi se na situacije koje nisu proknjižene u 2022. godini.</w:t>
      </w:r>
    </w:p>
    <w:p>
      <w:pPr>
        <w:jc w:val="both"/>
        <w:rPr>
          <w:rFonts w:ascii="Times New Roman" w:hAnsi="Times New Roman" w:cs="Times New Roman"/>
          <w:b/>
          <w:sz w:val="24"/>
          <w:szCs w:val="24"/>
        </w:rPr>
      </w:pPr>
      <w:r>
        <w:rPr>
          <w:rFonts w:ascii="Times New Roman" w:hAnsi="Times New Roman" w:cs="Times New Roman"/>
          <w:b/>
          <w:sz w:val="24"/>
          <w:szCs w:val="24"/>
        </w:rPr>
        <w:t>Program 1009: Izgradnja kapalice na Pomišlju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1009</w:t>
            </w:r>
          </w:p>
        </w:tc>
        <w:tc>
          <w:tcPr>
            <w:tcW w:w="1835" w:type="dxa"/>
          </w:tcPr>
          <w:p>
            <w:pPr>
              <w:ind w:left="-108" w:right="-114"/>
              <w:jc w:val="center"/>
              <w:rPr>
                <w:b/>
                <w:bCs/>
                <w:color w:val="000000"/>
                <w:sz w:val="20"/>
                <w:szCs w:val="20"/>
              </w:rPr>
            </w:pPr>
            <w:r>
              <w:rPr>
                <w:b/>
                <w:bCs/>
                <w:color w:val="000000"/>
                <w:sz w:val="20"/>
                <w:szCs w:val="20"/>
              </w:rPr>
              <w:t>1.900,00</w:t>
            </w:r>
          </w:p>
        </w:tc>
        <w:tc>
          <w:tcPr>
            <w:tcW w:w="1693" w:type="dxa"/>
          </w:tcPr>
          <w:p>
            <w:pPr>
              <w:ind w:left="-108" w:right="-114"/>
              <w:jc w:val="center"/>
              <w:rPr>
                <w:b/>
                <w:bCs/>
                <w:color w:val="000000"/>
                <w:sz w:val="20"/>
                <w:szCs w:val="20"/>
              </w:rPr>
            </w:pPr>
            <w:r>
              <w:rPr>
                <w:b/>
                <w:bCs/>
                <w:color w:val="000000"/>
                <w:sz w:val="20"/>
                <w:szCs w:val="20"/>
              </w:rPr>
              <w:t>58.775,97</w:t>
            </w:r>
          </w:p>
        </w:tc>
        <w:tc>
          <w:tcPr>
            <w:tcW w:w="4697" w:type="dxa"/>
          </w:tcPr>
          <w:p>
            <w:pPr>
              <w:ind w:left="-108" w:right="-114"/>
              <w:jc w:val="center"/>
              <w:rPr>
                <w:b/>
                <w:bCs/>
                <w:color w:val="000000"/>
                <w:sz w:val="20"/>
                <w:szCs w:val="20"/>
              </w:rPr>
            </w:pPr>
            <w:r>
              <w:rPr>
                <w:b/>
                <w:bCs/>
                <w:color w:val="000000"/>
                <w:sz w:val="20"/>
                <w:szCs w:val="20"/>
              </w:rPr>
              <w:t>3093,47%</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41"/>
        </w:numPr>
        <w:jc w:val="both"/>
        <w:rPr>
          <w:rFonts w:ascii="Times New Roman" w:hAnsi="Times New Roman" w:cs="Times New Roman"/>
          <w:b/>
          <w:sz w:val="24"/>
          <w:szCs w:val="24"/>
        </w:rPr>
      </w:pPr>
      <w:r>
        <w:rPr>
          <w:rFonts w:ascii="Times New Roman" w:hAnsi="Times New Roman" w:cs="Times New Roman"/>
          <w:b/>
          <w:sz w:val="24"/>
          <w:szCs w:val="24"/>
        </w:rPr>
        <w:t>Aktivnost A100002: Stručni nadzor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700,00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41"/>
        </w:numPr>
        <w:jc w:val="both"/>
        <w:rPr>
          <w:rFonts w:ascii="Times New Roman" w:hAnsi="Times New Roman" w:cs="Times New Roman"/>
          <w:b/>
          <w:sz w:val="24"/>
          <w:szCs w:val="24"/>
        </w:rPr>
      </w:pPr>
      <w:r>
        <w:rPr>
          <w:rFonts w:ascii="Times New Roman" w:hAnsi="Times New Roman" w:cs="Times New Roman"/>
          <w:b/>
          <w:sz w:val="24"/>
          <w:szCs w:val="24"/>
        </w:rPr>
        <w:t>Kapitalni projekt K100001: Izgradnja Kapelice na groblju Pomišalj</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K100001</w:t>
            </w:r>
          </w:p>
        </w:tc>
        <w:tc>
          <w:tcPr>
            <w:tcW w:w="1834" w:type="dxa"/>
          </w:tcPr>
          <w:p>
            <w:pPr>
              <w:ind w:left="-108" w:right="-114"/>
              <w:jc w:val="center"/>
              <w:rPr>
                <w:b/>
                <w:bCs/>
                <w:color w:val="000000"/>
                <w:sz w:val="20"/>
                <w:szCs w:val="20"/>
              </w:rPr>
            </w:pPr>
            <w:r>
              <w:rPr>
                <w:b/>
                <w:bCs/>
                <w:color w:val="000000"/>
                <w:sz w:val="20"/>
                <w:szCs w:val="20"/>
              </w:rPr>
              <w:t>1.200,00</w:t>
            </w:r>
          </w:p>
        </w:tc>
        <w:tc>
          <w:tcPr>
            <w:tcW w:w="1693" w:type="dxa"/>
          </w:tcPr>
          <w:p>
            <w:pPr>
              <w:ind w:left="-108" w:right="-114"/>
              <w:jc w:val="center"/>
              <w:rPr>
                <w:b/>
                <w:bCs/>
                <w:color w:val="000000"/>
                <w:sz w:val="20"/>
                <w:szCs w:val="20"/>
              </w:rPr>
            </w:pPr>
            <w:r>
              <w:rPr>
                <w:b/>
                <w:bCs/>
                <w:color w:val="000000"/>
                <w:sz w:val="20"/>
                <w:szCs w:val="20"/>
              </w:rPr>
              <w:t>58.775,97</w:t>
            </w:r>
          </w:p>
        </w:tc>
        <w:tc>
          <w:tcPr>
            <w:tcW w:w="4698" w:type="dxa"/>
          </w:tcPr>
          <w:p>
            <w:pPr>
              <w:ind w:left="-108" w:right="-114"/>
              <w:jc w:val="center"/>
              <w:rPr>
                <w:b/>
                <w:bCs/>
                <w:color w:val="000000"/>
                <w:sz w:val="20"/>
                <w:szCs w:val="20"/>
              </w:rPr>
            </w:pPr>
            <w:r>
              <w:rPr>
                <w:b/>
                <w:bCs/>
                <w:color w:val="000000"/>
                <w:sz w:val="20"/>
                <w:szCs w:val="20"/>
              </w:rPr>
              <w:t>5343,27%</w:t>
            </w:r>
          </w:p>
        </w:tc>
      </w:tr>
    </w:tbl>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Program 1011: Izgradnja šetnice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1011</w:t>
            </w:r>
          </w:p>
        </w:tc>
        <w:tc>
          <w:tcPr>
            <w:tcW w:w="1835" w:type="dxa"/>
          </w:tcPr>
          <w:p>
            <w:pPr>
              <w:ind w:left="-108" w:right="-114"/>
              <w:jc w:val="center"/>
              <w:rPr>
                <w:b/>
                <w:bCs/>
                <w:color w:val="000000"/>
                <w:sz w:val="20"/>
                <w:szCs w:val="20"/>
              </w:rPr>
            </w:pPr>
            <w:r>
              <w:rPr>
                <w:b/>
                <w:bCs/>
                <w:color w:val="000000"/>
                <w:sz w:val="20"/>
                <w:szCs w:val="20"/>
              </w:rPr>
              <w:t>69.000,00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42"/>
        </w:numPr>
        <w:jc w:val="both"/>
        <w:rPr>
          <w:rFonts w:ascii="Times New Roman" w:hAnsi="Times New Roman" w:cs="Times New Roman"/>
          <w:b/>
          <w:sz w:val="24"/>
          <w:szCs w:val="24"/>
        </w:rPr>
      </w:pPr>
      <w:r>
        <w:rPr>
          <w:rFonts w:ascii="Times New Roman" w:hAnsi="Times New Roman" w:cs="Times New Roman"/>
          <w:b/>
          <w:sz w:val="24"/>
          <w:szCs w:val="24"/>
        </w:rPr>
        <w:t>Aktivnost A100002: Stručni nadzor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A100002</w:t>
            </w:r>
          </w:p>
        </w:tc>
        <w:tc>
          <w:tcPr>
            <w:tcW w:w="1834" w:type="dxa"/>
          </w:tcPr>
          <w:p>
            <w:pPr>
              <w:ind w:left="-108" w:right="-114"/>
              <w:jc w:val="center"/>
              <w:rPr>
                <w:b/>
                <w:bCs/>
                <w:color w:val="000000"/>
                <w:sz w:val="20"/>
                <w:szCs w:val="20"/>
              </w:rPr>
            </w:pPr>
            <w:r>
              <w:rPr>
                <w:b/>
                <w:bCs/>
                <w:color w:val="000000"/>
                <w:sz w:val="20"/>
                <w:szCs w:val="20"/>
              </w:rPr>
              <w:t>2.700,00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42"/>
        </w:numPr>
        <w:jc w:val="both"/>
        <w:rPr>
          <w:rFonts w:ascii="Times New Roman" w:hAnsi="Times New Roman" w:cs="Times New Roman"/>
          <w:b/>
          <w:sz w:val="24"/>
          <w:szCs w:val="24"/>
        </w:rPr>
      </w:pPr>
      <w:r>
        <w:rPr>
          <w:rFonts w:ascii="Times New Roman" w:hAnsi="Times New Roman" w:cs="Times New Roman"/>
          <w:b/>
          <w:sz w:val="24"/>
          <w:szCs w:val="24"/>
        </w:rPr>
        <w:t>Kapitalni projekt K100001: Izgradnja šetnice Lučeva punta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K100001</w:t>
            </w:r>
          </w:p>
        </w:tc>
        <w:tc>
          <w:tcPr>
            <w:tcW w:w="1834" w:type="dxa"/>
          </w:tcPr>
          <w:p>
            <w:pPr>
              <w:ind w:left="-108" w:right="-114"/>
              <w:jc w:val="center"/>
              <w:rPr>
                <w:b/>
                <w:bCs/>
                <w:color w:val="000000"/>
                <w:sz w:val="20"/>
                <w:szCs w:val="20"/>
              </w:rPr>
            </w:pPr>
            <w:r>
              <w:rPr>
                <w:b/>
                <w:bCs/>
                <w:color w:val="000000"/>
                <w:sz w:val="20"/>
                <w:szCs w:val="20"/>
              </w:rPr>
              <w:t>39.800,00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42"/>
        </w:numPr>
        <w:jc w:val="both"/>
        <w:rPr>
          <w:rFonts w:ascii="Times New Roman" w:hAnsi="Times New Roman" w:cs="Times New Roman"/>
          <w:b/>
          <w:sz w:val="24"/>
          <w:szCs w:val="24"/>
        </w:rPr>
      </w:pPr>
      <w:r>
        <w:rPr>
          <w:rFonts w:ascii="Times New Roman" w:hAnsi="Times New Roman" w:cs="Times New Roman"/>
          <w:b/>
          <w:sz w:val="24"/>
          <w:szCs w:val="24"/>
        </w:rPr>
        <w:t>Kapitalni projekt K100003: Izgradnja šetnice Šparadići-Dedića Punta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K100003</w:t>
            </w:r>
          </w:p>
        </w:tc>
        <w:tc>
          <w:tcPr>
            <w:tcW w:w="1834" w:type="dxa"/>
          </w:tcPr>
          <w:p>
            <w:pPr>
              <w:ind w:left="-108" w:right="-114"/>
              <w:jc w:val="center"/>
              <w:rPr>
                <w:b/>
                <w:bCs/>
                <w:color w:val="000000"/>
                <w:sz w:val="20"/>
                <w:szCs w:val="20"/>
              </w:rPr>
            </w:pPr>
            <w:r>
              <w:rPr>
                <w:b/>
                <w:bCs/>
                <w:color w:val="000000"/>
                <w:sz w:val="20"/>
                <w:szCs w:val="20"/>
              </w:rPr>
              <w:t>26.500,00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1016: Izgradnja infrastrukture i okoliša zgrade Općine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1016</w:t>
            </w:r>
          </w:p>
        </w:tc>
        <w:tc>
          <w:tcPr>
            <w:tcW w:w="1835" w:type="dxa"/>
          </w:tcPr>
          <w:p>
            <w:pPr>
              <w:ind w:left="-108" w:right="-114"/>
              <w:jc w:val="center"/>
              <w:rPr>
                <w:b/>
                <w:bCs/>
                <w:color w:val="000000"/>
                <w:sz w:val="20"/>
                <w:szCs w:val="20"/>
              </w:rPr>
            </w:pPr>
            <w:r>
              <w:rPr>
                <w:b/>
                <w:bCs/>
                <w:color w:val="000000"/>
                <w:sz w:val="20"/>
                <w:szCs w:val="20"/>
              </w:rPr>
              <w:t>68.400,00</w:t>
            </w:r>
          </w:p>
        </w:tc>
        <w:tc>
          <w:tcPr>
            <w:tcW w:w="1693" w:type="dxa"/>
          </w:tcPr>
          <w:p>
            <w:pPr>
              <w:ind w:left="-108" w:right="-114"/>
              <w:jc w:val="center"/>
              <w:rPr>
                <w:b/>
                <w:bCs/>
                <w:color w:val="000000"/>
                <w:sz w:val="20"/>
                <w:szCs w:val="20"/>
              </w:rPr>
            </w:pPr>
            <w:r>
              <w:rPr>
                <w:b/>
                <w:bCs/>
                <w:color w:val="000000"/>
                <w:sz w:val="20"/>
                <w:szCs w:val="20"/>
              </w:rPr>
              <w:t>0,00</w:t>
            </w:r>
          </w:p>
        </w:tc>
        <w:tc>
          <w:tcPr>
            <w:tcW w:w="4697"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sljedećih aktivnosti</w:t>
      </w:r>
    </w:p>
    <w:p>
      <w:pPr>
        <w:pStyle w:val="Odlomakpopisa"/>
        <w:numPr>
          <w:ilvl w:val="0"/>
          <w:numId w:val="43"/>
        </w:numPr>
        <w:jc w:val="both"/>
        <w:rPr>
          <w:rFonts w:ascii="Times New Roman" w:hAnsi="Times New Roman" w:cs="Times New Roman"/>
          <w:b/>
          <w:sz w:val="24"/>
          <w:szCs w:val="24"/>
        </w:rPr>
      </w:pPr>
      <w:r>
        <w:rPr>
          <w:rFonts w:ascii="Times New Roman" w:hAnsi="Times New Roman" w:cs="Times New Roman"/>
          <w:b/>
          <w:sz w:val="24"/>
          <w:szCs w:val="24"/>
        </w:rPr>
        <w:t>Aktivnost A100001: Stručni nadzor</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2.000,00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43"/>
        </w:numPr>
        <w:jc w:val="both"/>
        <w:rPr>
          <w:rFonts w:ascii="Times New Roman" w:hAnsi="Times New Roman" w:cs="Times New Roman"/>
          <w:b/>
          <w:sz w:val="24"/>
          <w:szCs w:val="24"/>
        </w:rPr>
      </w:pPr>
      <w:r>
        <w:rPr>
          <w:rFonts w:ascii="Times New Roman" w:hAnsi="Times New Roman" w:cs="Times New Roman"/>
          <w:b/>
          <w:sz w:val="24"/>
          <w:szCs w:val="24"/>
        </w:rPr>
        <w:t>Kapitalni projekt K100001: Izgradnja infrastrukture i okoliša zgrade Općine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K100001</w:t>
            </w:r>
          </w:p>
        </w:tc>
        <w:tc>
          <w:tcPr>
            <w:tcW w:w="1834" w:type="dxa"/>
          </w:tcPr>
          <w:p>
            <w:pPr>
              <w:ind w:left="-108" w:right="-114"/>
              <w:jc w:val="center"/>
              <w:rPr>
                <w:b/>
                <w:bCs/>
                <w:color w:val="000000"/>
                <w:sz w:val="20"/>
                <w:szCs w:val="20"/>
              </w:rPr>
            </w:pPr>
            <w:r>
              <w:rPr>
                <w:b/>
                <w:bCs/>
                <w:color w:val="000000"/>
                <w:sz w:val="20"/>
                <w:szCs w:val="20"/>
              </w:rPr>
              <w:t>66.400,00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1002: Srednja škola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1002</w:t>
            </w:r>
          </w:p>
        </w:tc>
        <w:tc>
          <w:tcPr>
            <w:tcW w:w="1835" w:type="dxa"/>
          </w:tcPr>
          <w:p>
            <w:pPr>
              <w:ind w:left="-108" w:right="-114"/>
              <w:jc w:val="center"/>
              <w:rPr>
                <w:b/>
                <w:bCs/>
                <w:color w:val="000000"/>
                <w:sz w:val="20"/>
                <w:szCs w:val="20"/>
              </w:rPr>
            </w:pPr>
            <w:r>
              <w:rPr>
                <w:b/>
                <w:bCs/>
                <w:color w:val="000000"/>
                <w:sz w:val="20"/>
                <w:szCs w:val="20"/>
              </w:rPr>
              <w:t>17.300,00</w:t>
            </w:r>
          </w:p>
        </w:tc>
        <w:tc>
          <w:tcPr>
            <w:tcW w:w="1693" w:type="dxa"/>
          </w:tcPr>
          <w:p>
            <w:pPr>
              <w:ind w:left="-108" w:right="-114"/>
              <w:jc w:val="center"/>
              <w:rPr>
                <w:b/>
                <w:bCs/>
                <w:color w:val="000000"/>
                <w:sz w:val="20"/>
                <w:szCs w:val="20"/>
              </w:rPr>
            </w:pPr>
            <w:r>
              <w:rPr>
                <w:b/>
                <w:bCs/>
                <w:color w:val="000000"/>
                <w:sz w:val="20"/>
                <w:szCs w:val="20"/>
              </w:rPr>
              <w:t>6.898,91</w:t>
            </w:r>
          </w:p>
        </w:tc>
        <w:tc>
          <w:tcPr>
            <w:tcW w:w="4697" w:type="dxa"/>
          </w:tcPr>
          <w:p>
            <w:pPr>
              <w:ind w:left="-108" w:right="-114"/>
              <w:jc w:val="center"/>
              <w:rPr>
                <w:b/>
                <w:bCs/>
                <w:color w:val="000000"/>
                <w:sz w:val="20"/>
                <w:szCs w:val="20"/>
              </w:rPr>
            </w:pPr>
            <w:r>
              <w:rPr>
                <w:b/>
                <w:bCs/>
                <w:color w:val="000000"/>
                <w:sz w:val="20"/>
                <w:szCs w:val="20"/>
              </w:rPr>
              <w:t>39,88%</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44"/>
        </w:numPr>
        <w:jc w:val="both"/>
        <w:rPr>
          <w:rFonts w:ascii="Times New Roman" w:hAnsi="Times New Roman" w:cs="Times New Roman"/>
          <w:b/>
          <w:sz w:val="24"/>
          <w:szCs w:val="24"/>
        </w:rPr>
      </w:pPr>
      <w:r>
        <w:rPr>
          <w:rFonts w:ascii="Times New Roman" w:hAnsi="Times New Roman" w:cs="Times New Roman"/>
          <w:b/>
          <w:sz w:val="24"/>
          <w:szCs w:val="24"/>
        </w:rPr>
        <w:t>Aktivnost A100001: Sufinanciranje prijevoza učenika srednjih škola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17.300,00</w:t>
            </w:r>
          </w:p>
        </w:tc>
        <w:tc>
          <w:tcPr>
            <w:tcW w:w="1693" w:type="dxa"/>
          </w:tcPr>
          <w:p>
            <w:pPr>
              <w:ind w:left="-108" w:right="-114"/>
              <w:jc w:val="center"/>
              <w:rPr>
                <w:b/>
                <w:bCs/>
                <w:color w:val="000000"/>
                <w:sz w:val="20"/>
                <w:szCs w:val="20"/>
              </w:rPr>
            </w:pPr>
            <w:r>
              <w:rPr>
                <w:b/>
                <w:bCs/>
                <w:color w:val="000000"/>
                <w:sz w:val="20"/>
                <w:szCs w:val="20"/>
              </w:rPr>
              <w:t>6.898,91</w:t>
            </w:r>
          </w:p>
        </w:tc>
        <w:tc>
          <w:tcPr>
            <w:tcW w:w="4698" w:type="dxa"/>
          </w:tcPr>
          <w:p>
            <w:pPr>
              <w:ind w:left="-108" w:right="-114"/>
              <w:jc w:val="center"/>
              <w:rPr>
                <w:b/>
                <w:bCs/>
                <w:color w:val="000000"/>
                <w:sz w:val="20"/>
                <w:szCs w:val="20"/>
              </w:rPr>
            </w:pPr>
            <w:r>
              <w:rPr>
                <w:b/>
                <w:bCs/>
                <w:color w:val="000000"/>
                <w:sz w:val="20"/>
                <w:szCs w:val="20"/>
              </w:rPr>
              <w:t>39,88%</w:t>
            </w:r>
          </w:p>
        </w:tc>
      </w:tr>
    </w:tbl>
    <w:p>
      <w:pPr>
        <w:jc w:val="both"/>
        <w:rPr>
          <w:rFonts w:ascii="Times New Roman" w:hAnsi="Times New Roman" w:cs="Times New Roman"/>
          <w:sz w:val="24"/>
          <w:szCs w:val="24"/>
        </w:rPr>
      </w:pPr>
      <w:r>
        <w:rPr>
          <w:rFonts w:ascii="Times New Roman" w:hAnsi="Times New Roman" w:cs="Times New Roman"/>
          <w:sz w:val="24"/>
          <w:szCs w:val="24"/>
        </w:rPr>
        <w:t>Kroz aktivnost A100001: Sufinanciranje prijevoza učenika srednjih škola odnosi se na odluku o sufinanciranju 25% iznosa mjesečne karte.</w:t>
      </w: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1001: Financiranje održavanja pomorskog dobra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1001</w:t>
            </w:r>
          </w:p>
        </w:tc>
        <w:tc>
          <w:tcPr>
            <w:tcW w:w="1835" w:type="dxa"/>
          </w:tcPr>
          <w:p>
            <w:pPr>
              <w:ind w:left="-108" w:right="-114"/>
              <w:jc w:val="center"/>
              <w:rPr>
                <w:b/>
                <w:bCs/>
                <w:color w:val="000000"/>
                <w:sz w:val="20"/>
                <w:szCs w:val="20"/>
              </w:rPr>
            </w:pPr>
            <w:r>
              <w:rPr>
                <w:b/>
                <w:bCs/>
                <w:color w:val="000000"/>
                <w:sz w:val="20"/>
                <w:szCs w:val="20"/>
              </w:rPr>
              <w:t>29.200,00</w:t>
            </w:r>
          </w:p>
        </w:tc>
        <w:tc>
          <w:tcPr>
            <w:tcW w:w="1693" w:type="dxa"/>
          </w:tcPr>
          <w:p>
            <w:pPr>
              <w:ind w:left="-108" w:right="-114"/>
              <w:jc w:val="center"/>
              <w:rPr>
                <w:b/>
                <w:bCs/>
                <w:color w:val="000000"/>
                <w:sz w:val="20"/>
                <w:szCs w:val="20"/>
              </w:rPr>
            </w:pPr>
            <w:r>
              <w:rPr>
                <w:b/>
                <w:bCs/>
                <w:color w:val="000000"/>
                <w:sz w:val="20"/>
                <w:szCs w:val="20"/>
              </w:rPr>
              <w:t>10.769,35</w:t>
            </w:r>
          </w:p>
        </w:tc>
        <w:tc>
          <w:tcPr>
            <w:tcW w:w="4697" w:type="dxa"/>
          </w:tcPr>
          <w:p>
            <w:pPr>
              <w:ind w:left="-108" w:right="-114"/>
              <w:jc w:val="center"/>
              <w:rPr>
                <w:b/>
                <w:bCs/>
                <w:color w:val="000000"/>
                <w:sz w:val="20"/>
                <w:szCs w:val="20"/>
              </w:rPr>
            </w:pPr>
            <w:r>
              <w:rPr>
                <w:b/>
                <w:bCs/>
                <w:color w:val="000000"/>
                <w:sz w:val="20"/>
                <w:szCs w:val="20"/>
              </w:rPr>
              <w:t>36,88%</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45"/>
        </w:numPr>
        <w:jc w:val="both"/>
        <w:rPr>
          <w:rFonts w:ascii="Times New Roman" w:hAnsi="Times New Roman" w:cs="Times New Roman"/>
          <w:b/>
          <w:sz w:val="24"/>
          <w:szCs w:val="24"/>
        </w:rPr>
      </w:pPr>
      <w:r>
        <w:rPr>
          <w:rFonts w:ascii="Times New Roman" w:hAnsi="Times New Roman" w:cs="Times New Roman"/>
          <w:b/>
          <w:sz w:val="24"/>
          <w:szCs w:val="24"/>
        </w:rPr>
        <w:t>Aktivnost A100001: Fond za sanaciju iznenadnih onečišćenja mora</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1.300,00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pStyle w:val="Odlomakpopisa"/>
        <w:numPr>
          <w:ilvl w:val="0"/>
          <w:numId w:val="45"/>
        </w:numPr>
        <w:jc w:val="both"/>
        <w:rPr>
          <w:rFonts w:ascii="Times New Roman" w:hAnsi="Times New Roman" w:cs="Times New Roman"/>
          <w:b/>
          <w:sz w:val="24"/>
          <w:szCs w:val="24"/>
        </w:rPr>
      </w:pPr>
      <w:r>
        <w:rPr>
          <w:rFonts w:ascii="Times New Roman" w:hAnsi="Times New Roman" w:cs="Times New Roman"/>
          <w:b/>
          <w:sz w:val="24"/>
          <w:szCs w:val="24"/>
        </w:rPr>
        <w:lastRenderedPageBreak/>
        <w:t>Tekući projekt T100001: Tekuće održavanje pomorsko dobra (plaže)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T100001</w:t>
            </w:r>
          </w:p>
        </w:tc>
        <w:tc>
          <w:tcPr>
            <w:tcW w:w="1834" w:type="dxa"/>
          </w:tcPr>
          <w:p>
            <w:pPr>
              <w:ind w:left="-108" w:right="-114"/>
              <w:jc w:val="center"/>
              <w:rPr>
                <w:b/>
                <w:bCs/>
                <w:color w:val="000000"/>
                <w:sz w:val="20"/>
                <w:szCs w:val="20"/>
              </w:rPr>
            </w:pPr>
            <w:r>
              <w:rPr>
                <w:b/>
                <w:bCs/>
                <w:color w:val="000000"/>
                <w:sz w:val="20"/>
                <w:szCs w:val="20"/>
              </w:rPr>
              <w:t>26.500,00</w:t>
            </w:r>
          </w:p>
        </w:tc>
        <w:tc>
          <w:tcPr>
            <w:tcW w:w="1693" w:type="dxa"/>
          </w:tcPr>
          <w:p>
            <w:pPr>
              <w:ind w:left="-108" w:right="-114"/>
              <w:jc w:val="center"/>
              <w:rPr>
                <w:b/>
                <w:bCs/>
                <w:color w:val="000000"/>
                <w:sz w:val="20"/>
                <w:szCs w:val="20"/>
              </w:rPr>
            </w:pPr>
            <w:r>
              <w:rPr>
                <w:b/>
                <w:bCs/>
                <w:color w:val="000000"/>
                <w:sz w:val="20"/>
                <w:szCs w:val="20"/>
              </w:rPr>
              <w:t>10.769,35</w:t>
            </w:r>
          </w:p>
        </w:tc>
        <w:tc>
          <w:tcPr>
            <w:tcW w:w="4698" w:type="dxa"/>
          </w:tcPr>
          <w:p>
            <w:pPr>
              <w:ind w:left="-108" w:right="-114"/>
              <w:jc w:val="center"/>
              <w:rPr>
                <w:b/>
                <w:bCs/>
                <w:color w:val="000000"/>
                <w:sz w:val="20"/>
                <w:szCs w:val="20"/>
              </w:rPr>
            </w:pPr>
            <w:r>
              <w:rPr>
                <w:b/>
                <w:bCs/>
                <w:color w:val="000000"/>
                <w:sz w:val="20"/>
                <w:szCs w:val="20"/>
              </w:rPr>
              <w:t>40,64%</w:t>
            </w:r>
          </w:p>
        </w:tc>
      </w:tr>
    </w:tbl>
    <w:p>
      <w:pPr>
        <w:jc w:val="both"/>
        <w:rPr>
          <w:rFonts w:ascii="Times New Roman" w:hAnsi="Times New Roman" w:cs="Times New Roman"/>
          <w:sz w:val="24"/>
          <w:szCs w:val="24"/>
        </w:rPr>
      </w:pPr>
      <w:r>
        <w:rPr>
          <w:rFonts w:ascii="Times New Roman" w:hAnsi="Times New Roman" w:cs="Times New Roman"/>
          <w:sz w:val="24"/>
          <w:szCs w:val="24"/>
        </w:rPr>
        <w:t>Kroz tekući projekt T100001: Tekuće održavanje pomorskog dobra odnosi se na uređenje plaža i dohranu.</w:t>
      </w:r>
    </w:p>
    <w:p>
      <w:pPr>
        <w:pStyle w:val="Odlomakpopisa"/>
        <w:numPr>
          <w:ilvl w:val="0"/>
          <w:numId w:val="45"/>
        </w:numPr>
        <w:jc w:val="both"/>
        <w:rPr>
          <w:rFonts w:ascii="Times New Roman" w:hAnsi="Times New Roman" w:cs="Times New Roman"/>
          <w:b/>
          <w:sz w:val="24"/>
          <w:szCs w:val="24"/>
        </w:rPr>
      </w:pPr>
      <w:r>
        <w:rPr>
          <w:rFonts w:ascii="Times New Roman" w:hAnsi="Times New Roman" w:cs="Times New Roman"/>
          <w:b/>
          <w:sz w:val="24"/>
          <w:szCs w:val="24"/>
        </w:rPr>
        <w:t xml:space="preserve">Tekući projekt T100002: Naknade za rad članova vijeća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T100002</w:t>
            </w:r>
          </w:p>
        </w:tc>
        <w:tc>
          <w:tcPr>
            <w:tcW w:w="1834" w:type="dxa"/>
          </w:tcPr>
          <w:p>
            <w:pPr>
              <w:ind w:left="-108" w:right="-114"/>
              <w:jc w:val="center"/>
              <w:rPr>
                <w:b/>
                <w:bCs/>
                <w:color w:val="000000"/>
                <w:sz w:val="20"/>
                <w:szCs w:val="20"/>
              </w:rPr>
            </w:pPr>
            <w:r>
              <w:rPr>
                <w:b/>
                <w:bCs/>
                <w:color w:val="000000"/>
                <w:sz w:val="20"/>
                <w:szCs w:val="20"/>
              </w:rPr>
              <w:t>300,00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pStyle w:val="Odlomakpopisa"/>
        <w:numPr>
          <w:ilvl w:val="0"/>
          <w:numId w:val="45"/>
        </w:numPr>
        <w:jc w:val="both"/>
        <w:rPr>
          <w:rFonts w:ascii="Times New Roman" w:hAnsi="Times New Roman" w:cs="Times New Roman"/>
          <w:b/>
          <w:sz w:val="24"/>
          <w:szCs w:val="24"/>
        </w:rPr>
      </w:pPr>
      <w:r>
        <w:rPr>
          <w:rFonts w:ascii="Times New Roman" w:hAnsi="Times New Roman" w:cs="Times New Roman"/>
          <w:b/>
          <w:sz w:val="24"/>
          <w:szCs w:val="24"/>
        </w:rPr>
        <w:t>Tekući projekt T100004: Izdaci za interventne situacije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T100004</w:t>
            </w:r>
          </w:p>
        </w:tc>
        <w:tc>
          <w:tcPr>
            <w:tcW w:w="1834" w:type="dxa"/>
          </w:tcPr>
          <w:p>
            <w:pPr>
              <w:ind w:left="-108" w:right="-114"/>
              <w:jc w:val="center"/>
              <w:rPr>
                <w:b/>
                <w:bCs/>
                <w:color w:val="000000"/>
                <w:sz w:val="20"/>
                <w:szCs w:val="20"/>
              </w:rPr>
            </w:pPr>
            <w:r>
              <w:rPr>
                <w:b/>
                <w:bCs/>
                <w:color w:val="000000"/>
                <w:sz w:val="20"/>
                <w:szCs w:val="20"/>
              </w:rPr>
              <w:t>1.100,00</w:t>
            </w:r>
          </w:p>
        </w:tc>
        <w:tc>
          <w:tcPr>
            <w:tcW w:w="1693" w:type="dxa"/>
          </w:tcPr>
          <w:p>
            <w:pPr>
              <w:ind w:left="-108" w:right="-114"/>
              <w:jc w:val="center"/>
              <w:rPr>
                <w:b/>
                <w:bCs/>
                <w:color w:val="000000"/>
                <w:sz w:val="20"/>
                <w:szCs w:val="20"/>
              </w:rPr>
            </w:pPr>
            <w:r>
              <w:rPr>
                <w:b/>
                <w:bCs/>
                <w:color w:val="000000"/>
                <w:sz w:val="20"/>
                <w:szCs w:val="20"/>
              </w:rPr>
              <w:t>0,00</w:t>
            </w:r>
          </w:p>
        </w:tc>
        <w:tc>
          <w:tcPr>
            <w:tcW w:w="4698" w:type="dxa"/>
          </w:tcPr>
          <w:p>
            <w:pPr>
              <w:ind w:left="-108" w:right="-114"/>
              <w:jc w:val="center"/>
              <w:rPr>
                <w:b/>
                <w:bCs/>
                <w:color w:val="000000"/>
                <w:sz w:val="20"/>
                <w:szCs w:val="20"/>
              </w:rPr>
            </w:pPr>
            <w:r>
              <w:rPr>
                <w:b/>
                <w:bCs/>
                <w:color w:val="000000"/>
                <w:sz w:val="20"/>
                <w:szCs w:val="20"/>
              </w:rPr>
              <w:t>0,00%</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1003: Izrada projektne dokumentacije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rPr>
          <w:trHeight w:val="813"/>
        </w:trP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1003</w:t>
            </w:r>
          </w:p>
        </w:tc>
        <w:tc>
          <w:tcPr>
            <w:tcW w:w="1835" w:type="dxa"/>
          </w:tcPr>
          <w:p>
            <w:pPr>
              <w:ind w:left="-108" w:right="-114"/>
              <w:jc w:val="center"/>
              <w:rPr>
                <w:b/>
                <w:bCs/>
                <w:color w:val="000000"/>
                <w:sz w:val="20"/>
                <w:szCs w:val="20"/>
              </w:rPr>
            </w:pPr>
            <w:r>
              <w:rPr>
                <w:b/>
                <w:bCs/>
                <w:color w:val="000000"/>
                <w:sz w:val="20"/>
                <w:szCs w:val="20"/>
              </w:rPr>
              <w:t>39.800,00</w:t>
            </w:r>
          </w:p>
        </w:tc>
        <w:tc>
          <w:tcPr>
            <w:tcW w:w="1693" w:type="dxa"/>
          </w:tcPr>
          <w:p>
            <w:pPr>
              <w:ind w:left="-108" w:right="-114"/>
              <w:jc w:val="center"/>
              <w:rPr>
                <w:b/>
                <w:bCs/>
                <w:color w:val="000000"/>
                <w:sz w:val="20"/>
                <w:szCs w:val="20"/>
              </w:rPr>
            </w:pPr>
            <w:r>
              <w:rPr>
                <w:b/>
                <w:bCs/>
                <w:color w:val="000000"/>
                <w:sz w:val="20"/>
                <w:szCs w:val="20"/>
              </w:rPr>
              <w:t>2.600,00</w:t>
            </w:r>
          </w:p>
        </w:tc>
        <w:tc>
          <w:tcPr>
            <w:tcW w:w="4697" w:type="dxa"/>
          </w:tcPr>
          <w:p>
            <w:pPr>
              <w:ind w:left="-108" w:right="-114"/>
              <w:jc w:val="center"/>
              <w:rPr>
                <w:b/>
                <w:bCs/>
                <w:color w:val="000000"/>
                <w:sz w:val="20"/>
                <w:szCs w:val="20"/>
              </w:rPr>
            </w:pPr>
            <w:r>
              <w:rPr>
                <w:b/>
                <w:bCs/>
                <w:color w:val="000000"/>
                <w:sz w:val="20"/>
                <w:szCs w:val="20"/>
              </w:rPr>
              <w:t>6,53%</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46"/>
        </w:numPr>
        <w:jc w:val="both"/>
        <w:rPr>
          <w:rFonts w:ascii="Times New Roman" w:hAnsi="Times New Roman" w:cs="Times New Roman"/>
          <w:b/>
          <w:sz w:val="24"/>
          <w:szCs w:val="24"/>
        </w:rPr>
      </w:pPr>
      <w:r>
        <w:rPr>
          <w:rFonts w:ascii="Times New Roman" w:hAnsi="Times New Roman" w:cs="Times New Roman"/>
          <w:b/>
          <w:sz w:val="24"/>
          <w:szCs w:val="24"/>
        </w:rPr>
        <w:t>Kapitalni projekt K100001: Izrada projektne dokumentacije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K100001</w:t>
            </w:r>
          </w:p>
        </w:tc>
        <w:tc>
          <w:tcPr>
            <w:tcW w:w="1834" w:type="dxa"/>
          </w:tcPr>
          <w:p>
            <w:pPr>
              <w:ind w:left="-108" w:right="-114"/>
              <w:jc w:val="center"/>
              <w:rPr>
                <w:b/>
                <w:bCs/>
                <w:color w:val="000000"/>
                <w:sz w:val="20"/>
                <w:szCs w:val="20"/>
              </w:rPr>
            </w:pPr>
            <w:r>
              <w:rPr>
                <w:b/>
                <w:bCs/>
                <w:color w:val="000000"/>
                <w:sz w:val="20"/>
                <w:szCs w:val="20"/>
              </w:rPr>
              <w:t>39.800,00</w:t>
            </w:r>
          </w:p>
        </w:tc>
        <w:tc>
          <w:tcPr>
            <w:tcW w:w="1693" w:type="dxa"/>
          </w:tcPr>
          <w:p>
            <w:pPr>
              <w:ind w:left="-108" w:right="-114"/>
              <w:jc w:val="center"/>
              <w:rPr>
                <w:b/>
                <w:bCs/>
                <w:color w:val="000000"/>
                <w:sz w:val="20"/>
                <w:szCs w:val="20"/>
              </w:rPr>
            </w:pPr>
            <w:r>
              <w:rPr>
                <w:b/>
                <w:bCs/>
                <w:color w:val="000000"/>
                <w:sz w:val="20"/>
                <w:szCs w:val="20"/>
              </w:rPr>
              <w:t>2.600,00</w:t>
            </w:r>
          </w:p>
        </w:tc>
        <w:tc>
          <w:tcPr>
            <w:tcW w:w="4698" w:type="dxa"/>
          </w:tcPr>
          <w:p>
            <w:pPr>
              <w:ind w:left="-108" w:right="-114"/>
              <w:jc w:val="center"/>
              <w:rPr>
                <w:b/>
                <w:bCs/>
                <w:color w:val="000000"/>
                <w:sz w:val="20"/>
                <w:szCs w:val="20"/>
              </w:rPr>
            </w:pPr>
            <w:r>
              <w:rPr>
                <w:b/>
                <w:bCs/>
                <w:color w:val="000000"/>
                <w:sz w:val="20"/>
                <w:szCs w:val="20"/>
              </w:rPr>
              <w:t>6,53%</w:t>
            </w:r>
          </w:p>
        </w:tc>
      </w:tr>
    </w:tbl>
    <w:p>
      <w:pPr>
        <w:jc w:val="both"/>
        <w:rPr>
          <w:rFonts w:ascii="Times New Roman" w:hAnsi="Times New Roman" w:cs="Times New Roman"/>
          <w:sz w:val="24"/>
          <w:szCs w:val="24"/>
        </w:rPr>
      </w:pPr>
      <w:r>
        <w:rPr>
          <w:rFonts w:ascii="Times New Roman" w:hAnsi="Times New Roman" w:cs="Times New Roman"/>
          <w:sz w:val="24"/>
          <w:szCs w:val="24"/>
        </w:rPr>
        <w:t>Kroz kapitalni projekt K100001: Izrada projektne dokumentacije odnosi se na projektnu dokumentaciju za uređenje prometa u ulici Bosuć.</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Program 1001: Poticanje razvoja turizma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5"/>
        <w:gridCol w:w="1693"/>
        <w:gridCol w:w="4697"/>
      </w:tblGrid>
      <w:tr>
        <w:tc>
          <w:tcPr>
            <w:tcW w:w="1239" w:type="dxa"/>
          </w:tcPr>
          <w:p>
            <w:pPr>
              <w:ind w:right="-114"/>
              <w:jc w:val="center"/>
              <w:rPr>
                <w:b/>
                <w:bCs/>
                <w:color w:val="000000"/>
                <w:sz w:val="20"/>
                <w:szCs w:val="20"/>
              </w:rPr>
            </w:pPr>
            <w:r>
              <w:rPr>
                <w:b/>
                <w:bCs/>
                <w:color w:val="000000"/>
                <w:sz w:val="20"/>
                <w:szCs w:val="20"/>
              </w:rPr>
              <w:t>Program</w:t>
            </w:r>
          </w:p>
        </w:tc>
        <w:tc>
          <w:tcPr>
            <w:tcW w:w="1835"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7"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Cs/>
                <w:color w:val="000000"/>
                <w:sz w:val="20"/>
                <w:szCs w:val="20"/>
              </w:rPr>
            </w:pPr>
            <w:r>
              <w:rPr>
                <w:b/>
                <w:bCs/>
                <w:color w:val="000000"/>
                <w:sz w:val="20"/>
                <w:szCs w:val="20"/>
              </w:rPr>
              <w:t>1001</w:t>
            </w:r>
          </w:p>
        </w:tc>
        <w:tc>
          <w:tcPr>
            <w:tcW w:w="1835" w:type="dxa"/>
          </w:tcPr>
          <w:p>
            <w:pPr>
              <w:ind w:left="-108" w:right="-114"/>
              <w:jc w:val="center"/>
              <w:rPr>
                <w:b/>
                <w:bCs/>
                <w:color w:val="000000"/>
                <w:sz w:val="20"/>
                <w:szCs w:val="20"/>
              </w:rPr>
            </w:pPr>
            <w:r>
              <w:rPr>
                <w:b/>
                <w:bCs/>
                <w:color w:val="000000"/>
                <w:sz w:val="20"/>
                <w:szCs w:val="20"/>
              </w:rPr>
              <w:t>17.300,00</w:t>
            </w:r>
          </w:p>
        </w:tc>
        <w:tc>
          <w:tcPr>
            <w:tcW w:w="1693" w:type="dxa"/>
          </w:tcPr>
          <w:p>
            <w:pPr>
              <w:ind w:left="-108" w:right="-114"/>
              <w:jc w:val="center"/>
              <w:rPr>
                <w:b/>
                <w:bCs/>
                <w:color w:val="000000"/>
                <w:sz w:val="20"/>
                <w:szCs w:val="20"/>
              </w:rPr>
            </w:pPr>
            <w:r>
              <w:rPr>
                <w:b/>
                <w:bCs/>
                <w:color w:val="000000"/>
                <w:sz w:val="20"/>
                <w:szCs w:val="20"/>
              </w:rPr>
              <w:t>8.444,02</w:t>
            </w:r>
          </w:p>
        </w:tc>
        <w:tc>
          <w:tcPr>
            <w:tcW w:w="4697" w:type="dxa"/>
          </w:tcPr>
          <w:p>
            <w:pPr>
              <w:ind w:left="-108" w:right="-114"/>
              <w:jc w:val="center"/>
              <w:rPr>
                <w:b/>
                <w:bCs/>
                <w:color w:val="000000"/>
                <w:sz w:val="20"/>
                <w:szCs w:val="20"/>
              </w:rPr>
            </w:pPr>
            <w:r>
              <w:rPr>
                <w:b/>
                <w:bCs/>
                <w:color w:val="000000"/>
                <w:sz w:val="20"/>
                <w:szCs w:val="20"/>
              </w:rPr>
              <w:t>48,81%</w:t>
            </w:r>
          </w:p>
        </w:tc>
      </w:tr>
    </w:tbl>
    <w:p>
      <w:pPr>
        <w:jc w:val="both"/>
        <w:rPr>
          <w:rFonts w:ascii="Times New Roman" w:hAnsi="Times New Roman" w:cs="Times New Roman"/>
          <w:sz w:val="24"/>
          <w:szCs w:val="24"/>
        </w:rPr>
      </w:pPr>
    </w:p>
    <w:p>
      <w:pPr>
        <w:jc w:val="both"/>
        <w:rPr>
          <w:rFonts w:ascii="Times New Roman" w:hAnsi="Times New Roman" w:cs="Times New Roman"/>
          <w:b/>
          <w:sz w:val="24"/>
          <w:szCs w:val="24"/>
        </w:rPr>
      </w:pPr>
      <w:r>
        <w:rPr>
          <w:rFonts w:ascii="Times New Roman" w:hAnsi="Times New Roman" w:cs="Times New Roman"/>
          <w:b/>
          <w:sz w:val="24"/>
          <w:szCs w:val="24"/>
        </w:rPr>
        <w:t>Program se sastoji od sljedeće aktivnosti</w:t>
      </w:r>
    </w:p>
    <w:p>
      <w:pPr>
        <w:pStyle w:val="Odlomakpopisa"/>
        <w:numPr>
          <w:ilvl w:val="0"/>
          <w:numId w:val="47"/>
        </w:numPr>
        <w:jc w:val="both"/>
        <w:rPr>
          <w:rFonts w:ascii="Times New Roman" w:hAnsi="Times New Roman" w:cs="Times New Roman"/>
          <w:b/>
          <w:sz w:val="24"/>
          <w:szCs w:val="24"/>
        </w:rPr>
      </w:pPr>
      <w:r>
        <w:rPr>
          <w:rFonts w:ascii="Times New Roman" w:hAnsi="Times New Roman" w:cs="Times New Roman"/>
          <w:b/>
          <w:sz w:val="24"/>
          <w:szCs w:val="24"/>
        </w:rPr>
        <w:t>Aktivnost A100001: Turistička zajednica Općine Bilice</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1834"/>
        <w:gridCol w:w="1693"/>
        <w:gridCol w:w="4698"/>
      </w:tblGrid>
      <w:tr>
        <w:tc>
          <w:tcPr>
            <w:tcW w:w="1239" w:type="dxa"/>
          </w:tcPr>
          <w:p>
            <w:pPr>
              <w:ind w:right="-114"/>
              <w:jc w:val="center"/>
              <w:rPr>
                <w:b/>
                <w:bCs/>
                <w:color w:val="000000"/>
                <w:sz w:val="20"/>
                <w:szCs w:val="20"/>
              </w:rPr>
            </w:pPr>
            <w:r>
              <w:rPr>
                <w:b/>
                <w:bCs/>
                <w:color w:val="000000"/>
                <w:sz w:val="20"/>
                <w:szCs w:val="20"/>
              </w:rPr>
              <w:t>Aktivnost</w:t>
            </w:r>
          </w:p>
        </w:tc>
        <w:tc>
          <w:tcPr>
            <w:tcW w:w="1834" w:type="dxa"/>
          </w:tcPr>
          <w:p>
            <w:pPr>
              <w:ind w:left="-108" w:right="-114"/>
              <w:jc w:val="center"/>
              <w:rPr>
                <w:b/>
                <w:bCs/>
                <w:color w:val="000000"/>
                <w:sz w:val="20"/>
                <w:szCs w:val="20"/>
              </w:rPr>
            </w:pPr>
            <w:r>
              <w:rPr>
                <w:b/>
                <w:bCs/>
                <w:color w:val="000000"/>
                <w:sz w:val="20"/>
                <w:szCs w:val="20"/>
              </w:rPr>
              <w:t>Izvorni plan 2023.</w:t>
            </w:r>
          </w:p>
        </w:tc>
        <w:tc>
          <w:tcPr>
            <w:tcW w:w="1693" w:type="dxa"/>
          </w:tcPr>
          <w:p>
            <w:pPr>
              <w:ind w:left="-108" w:right="-114"/>
              <w:jc w:val="center"/>
              <w:rPr>
                <w:b/>
                <w:bCs/>
                <w:color w:val="000000"/>
                <w:sz w:val="20"/>
                <w:szCs w:val="20"/>
              </w:rPr>
            </w:pPr>
            <w:r>
              <w:rPr>
                <w:b/>
                <w:bCs/>
                <w:color w:val="000000"/>
                <w:sz w:val="20"/>
                <w:szCs w:val="20"/>
              </w:rPr>
              <w:t xml:space="preserve">Izvršenje </w:t>
            </w:r>
          </w:p>
          <w:p>
            <w:pPr>
              <w:ind w:left="-108" w:right="-114"/>
              <w:jc w:val="center"/>
              <w:rPr>
                <w:b/>
                <w:bCs/>
                <w:color w:val="000000"/>
                <w:sz w:val="20"/>
                <w:szCs w:val="20"/>
              </w:rPr>
            </w:pPr>
            <w:r>
              <w:rPr>
                <w:b/>
                <w:bCs/>
                <w:color w:val="000000"/>
                <w:sz w:val="20"/>
                <w:szCs w:val="20"/>
              </w:rPr>
              <w:t>30.6.2023.</w:t>
            </w:r>
          </w:p>
        </w:tc>
        <w:tc>
          <w:tcPr>
            <w:tcW w:w="4698" w:type="dxa"/>
          </w:tcPr>
          <w:p>
            <w:pPr>
              <w:ind w:left="-108" w:right="-114"/>
              <w:jc w:val="center"/>
              <w:rPr>
                <w:b/>
                <w:bCs/>
                <w:color w:val="000000"/>
                <w:sz w:val="20"/>
                <w:szCs w:val="20"/>
              </w:rPr>
            </w:pPr>
            <w:r>
              <w:rPr>
                <w:b/>
                <w:bCs/>
                <w:color w:val="000000"/>
                <w:sz w:val="20"/>
                <w:szCs w:val="20"/>
              </w:rPr>
              <w:t xml:space="preserve">Indeks </w:t>
            </w:r>
          </w:p>
          <w:p>
            <w:pPr>
              <w:ind w:left="-108" w:right="-114"/>
              <w:jc w:val="center"/>
              <w:rPr>
                <w:b/>
                <w:bCs/>
                <w:color w:val="000000"/>
                <w:sz w:val="20"/>
                <w:szCs w:val="20"/>
              </w:rPr>
            </w:pPr>
            <w:r>
              <w:rPr>
                <w:b/>
                <w:bCs/>
                <w:color w:val="000000"/>
                <w:sz w:val="20"/>
                <w:szCs w:val="20"/>
              </w:rPr>
              <w:t>Izvršenje 30.6.2023./Izvorni plan 2023.</w:t>
            </w:r>
          </w:p>
        </w:tc>
      </w:tr>
      <w:tr>
        <w:tc>
          <w:tcPr>
            <w:tcW w:w="1239" w:type="dxa"/>
          </w:tcPr>
          <w:p>
            <w:pPr>
              <w:ind w:right="-114"/>
              <w:jc w:val="center"/>
              <w:rPr>
                <w:b/>
                <w:bCs/>
                <w:color w:val="000000"/>
                <w:sz w:val="20"/>
                <w:szCs w:val="20"/>
              </w:rPr>
            </w:pPr>
            <w:r>
              <w:rPr>
                <w:b/>
                <w:bCs/>
                <w:color w:val="000000"/>
                <w:sz w:val="20"/>
                <w:szCs w:val="20"/>
              </w:rPr>
              <w:t>A100001</w:t>
            </w:r>
          </w:p>
        </w:tc>
        <w:tc>
          <w:tcPr>
            <w:tcW w:w="1834" w:type="dxa"/>
          </w:tcPr>
          <w:p>
            <w:pPr>
              <w:ind w:left="-108" w:right="-114"/>
              <w:jc w:val="center"/>
              <w:rPr>
                <w:b/>
                <w:bCs/>
                <w:color w:val="000000"/>
                <w:sz w:val="20"/>
                <w:szCs w:val="20"/>
              </w:rPr>
            </w:pPr>
            <w:r>
              <w:rPr>
                <w:b/>
                <w:bCs/>
                <w:color w:val="000000"/>
                <w:sz w:val="20"/>
                <w:szCs w:val="20"/>
              </w:rPr>
              <w:t>17.300,00</w:t>
            </w:r>
          </w:p>
        </w:tc>
        <w:tc>
          <w:tcPr>
            <w:tcW w:w="1693" w:type="dxa"/>
          </w:tcPr>
          <w:p>
            <w:pPr>
              <w:ind w:left="-108" w:right="-114"/>
              <w:jc w:val="center"/>
              <w:rPr>
                <w:b/>
                <w:bCs/>
                <w:color w:val="000000"/>
                <w:sz w:val="20"/>
                <w:szCs w:val="20"/>
              </w:rPr>
            </w:pPr>
            <w:r>
              <w:rPr>
                <w:b/>
                <w:bCs/>
                <w:color w:val="000000"/>
                <w:sz w:val="20"/>
                <w:szCs w:val="20"/>
              </w:rPr>
              <w:t>8.444,02</w:t>
            </w:r>
          </w:p>
        </w:tc>
        <w:tc>
          <w:tcPr>
            <w:tcW w:w="4698" w:type="dxa"/>
          </w:tcPr>
          <w:p>
            <w:pPr>
              <w:ind w:left="-108" w:right="-114"/>
              <w:jc w:val="center"/>
              <w:rPr>
                <w:b/>
                <w:bCs/>
                <w:color w:val="000000"/>
                <w:sz w:val="20"/>
                <w:szCs w:val="20"/>
              </w:rPr>
            </w:pPr>
            <w:r>
              <w:rPr>
                <w:b/>
                <w:bCs/>
                <w:color w:val="000000"/>
                <w:sz w:val="20"/>
                <w:szCs w:val="20"/>
              </w:rPr>
              <w:t>48,81%</w:t>
            </w:r>
          </w:p>
        </w:tc>
      </w:tr>
    </w:tbl>
    <w:p>
      <w:pPr>
        <w:jc w:val="both"/>
        <w:rPr>
          <w:rFonts w:ascii="Times New Roman" w:hAnsi="Times New Roman" w:cs="Times New Roman"/>
          <w:sz w:val="24"/>
          <w:szCs w:val="24"/>
        </w:rPr>
      </w:pPr>
    </w:p>
    <w:p>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PREDSJENIK</w:t>
      </w:r>
    </w:p>
    <w:p>
      <w:pP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Vlatko Petrović</w:t>
      </w:r>
    </w:p>
    <w:p>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pPr>
        <w:jc w:val="both"/>
        <w:rPr>
          <w:rFonts w:ascii="Times New Roman" w:hAnsi="Times New Roman" w:cs="Times New Roman"/>
          <w:sz w:val="24"/>
          <w:szCs w:val="24"/>
        </w:rPr>
      </w:pPr>
    </w:p>
    <w:p>
      <w:pPr>
        <w:jc w:val="both"/>
        <w:rPr>
          <w:rFonts w:ascii="Times New Roman" w:hAnsi="Times New Roman" w:cs="Times New Roman"/>
          <w:sz w:val="24"/>
          <w:szCs w:val="24"/>
        </w:rPr>
      </w:pPr>
      <w:bookmarkStart w:id="0" w:name="_GoBack"/>
      <w:bookmarkEnd w:id="0"/>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F6D26"/>
    <w:multiLevelType w:val="hybridMultilevel"/>
    <w:tmpl w:val="1B363E6C"/>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59E345D"/>
    <w:multiLevelType w:val="hybridMultilevel"/>
    <w:tmpl w:val="55EA77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453E2F"/>
    <w:multiLevelType w:val="hybridMultilevel"/>
    <w:tmpl w:val="21B684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B750AD"/>
    <w:multiLevelType w:val="hybridMultilevel"/>
    <w:tmpl w:val="C7A46C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72B2FE7"/>
    <w:multiLevelType w:val="hybridMultilevel"/>
    <w:tmpl w:val="1A3CD4A0"/>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5" w15:restartNumberingAfterBreak="0">
    <w:nsid w:val="08251F69"/>
    <w:multiLevelType w:val="hybridMultilevel"/>
    <w:tmpl w:val="DF8484D4"/>
    <w:lvl w:ilvl="0" w:tplc="8AC08B8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A365ECD"/>
    <w:multiLevelType w:val="hybridMultilevel"/>
    <w:tmpl w:val="1FF2E67E"/>
    <w:lvl w:ilvl="0" w:tplc="BAE2F0CA">
      <w:start w:val="1"/>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0BB72871"/>
    <w:multiLevelType w:val="hybridMultilevel"/>
    <w:tmpl w:val="783627D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C3F066F"/>
    <w:multiLevelType w:val="hybridMultilevel"/>
    <w:tmpl w:val="7CC4D38A"/>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9" w15:restartNumberingAfterBreak="0">
    <w:nsid w:val="121F5445"/>
    <w:multiLevelType w:val="hybridMultilevel"/>
    <w:tmpl w:val="B352C16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5CA1E9C"/>
    <w:multiLevelType w:val="hybridMultilevel"/>
    <w:tmpl w:val="1FF0B4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62C38A7"/>
    <w:multiLevelType w:val="hybridMultilevel"/>
    <w:tmpl w:val="D5386F22"/>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2" w15:restartNumberingAfterBreak="0">
    <w:nsid w:val="16992D63"/>
    <w:multiLevelType w:val="hybridMultilevel"/>
    <w:tmpl w:val="9970FE32"/>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3" w15:restartNumberingAfterBreak="0">
    <w:nsid w:val="254866C1"/>
    <w:multiLevelType w:val="hybridMultilevel"/>
    <w:tmpl w:val="18A0F4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B2A148A"/>
    <w:multiLevelType w:val="hybridMultilevel"/>
    <w:tmpl w:val="DF229D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D07125D"/>
    <w:multiLevelType w:val="hybridMultilevel"/>
    <w:tmpl w:val="DB0CD3C4"/>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DE5618A"/>
    <w:multiLevelType w:val="hybridMultilevel"/>
    <w:tmpl w:val="1E84304A"/>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7" w15:restartNumberingAfterBreak="0">
    <w:nsid w:val="2DF55121"/>
    <w:multiLevelType w:val="hybridMultilevel"/>
    <w:tmpl w:val="E604AA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2FA86BEF"/>
    <w:multiLevelType w:val="hybridMultilevel"/>
    <w:tmpl w:val="E928415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3BB3D77"/>
    <w:multiLevelType w:val="hybridMultilevel"/>
    <w:tmpl w:val="26F62E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3E21113"/>
    <w:multiLevelType w:val="multilevel"/>
    <w:tmpl w:val="8C4603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60800B1"/>
    <w:multiLevelType w:val="hybridMultilevel"/>
    <w:tmpl w:val="42F884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7520F36"/>
    <w:multiLevelType w:val="hybridMultilevel"/>
    <w:tmpl w:val="A21CA8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78F222D"/>
    <w:multiLevelType w:val="hybridMultilevel"/>
    <w:tmpl w:val="C700E0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AC6073E"/>
    <w:multiLevelType w:val="hybridMultilevel"/>
    <w:tmpl w:val="B54493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CB946A2"/>
    <w:multiLevelType w:val="hybridMultilevel"/>
    <w:tmpl w:val="FB989C9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01C3132"/>
    <w:multiLevelType w:val="hybridMultilevel"/>
    <w:tmpl w:val="EE188EDE"/>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7" w15:restartNumberingAfterBreak="0">
    <w:nsid w:val="43A72272"/>
    <w:multiLevelType w:val="hybridMultilevel"/>
    <w:tmpl w:val="682CE268"/>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8" w15:restartNumberingAfterBreak="0">
    <w:nsid w:val="46AC7295"/>
    <w:multiLevelType w:val="hybridMultilevel"/>
    <w:tmpl w:val="4E0C9C56"/>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9" w15:restartNumberingAfterBreak="0">
    <w:nsid w:val="46E90EED"/>
    <w:multiLevelType w:val="hybridMultilevel"/>
    <w:tmpl w:val="B590DEEC"/>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0" w15:restartNumberingAfterBreak="0">
    <w:nsid w:val="4C691792"/>
    <w:multiLevelType w:val="hybridMultilevel"/>
    <w:tmpl w:val="1D8C00D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4FD01471"/>
    <w:multiLevelType w:val="multilevel"/>
    <w:tmpl w:val="71E0FB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5590019"/>
    <w:multiLevelType w:val="hybridMultilevel"/>
    <w:tmpl w:val="3D60D6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9EC0A01"/>
    <w:multiLevelType w:val="hybridMultilevel"/>
    <w:tmpl w:val="90C2C71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5B3424EE"/>
    <w:multiLevelType w:val="hybridMultilevel"/>
    <w:tmpl w:val="1D9EBA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C335CF8"/>
    <w:multiLevelType w:val="hybridMultilevel"/>
    <w:tmpl w:val="918ACEA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F521A84"/>
    <w:multiLevelType w:val="hybridMultilevel"/>
    <w:tmpl w:val="758AB78C"/>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7" w15:restartNumberingAfterBreak="0">
    <w:nsid w:val="60AE4599"/>
    <w:multiLevelType w:val="hybridMultilevel"/>
    <w:tmpl w:val="403811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20B0005"/>
    <w:multiLevelType w:val="hybridMultilevel"/>
    <w:tmpl w:val="D9124194"/>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9" w15:restartNumberingAfterBreak="0">
    <w:nsid w:val="63894BA7"/>
    <w:multiLevelType w:val="hybridMultilevel"/>
    <w:tmpl w:val="E51CEB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64432944"/>
    <w:multiLevelType w:val="hybridMultilevel"/>
    <w:tmpl w:val="176CD1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67AC0C72"/>
    <w:multiLevelType w:val="hybridMultilevel"/>
    <w:tmpl w:val="FFC4AC72"/>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42" w15:restartNumberingAfterBreak="0">
    <w:nsid w:val="6E186D8A"/>
    <w:multiLevelType w:val="hybridMultilevel"/>
    <w:tmpl w:val="81285E02"/>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43" w15:restartNumberingAfterBreak="0">
    <w:nsid w:val="6FAA2F00"/>
    <w:multiLevelType w:val="hybridMultilevel"/>
    <w:tmpl w:val="C75CB78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28B2120"/>
    <w:multiLevelType w:val="hybridMultilevel"/>
    <w:tmpl w:val="1D8E14B4"/>
    <w:lvl w:ilvl="0" w:tplc="1C7402EE">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45" w15:restartNumberingAfterBreak="0">
    <w:nsid w:val="7585394A"/>
    <w:multiLevelType w:val="hybridMultilevel"/>
    <w:tmpl w:val="A6DEFF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797F5CF2"/>
    <w:multiLevelType w:val="hybridMultilevel"/>
    <w:tmpl w:val="7AF6D67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5"/>
  </w:num>
  <w:num w:numId="2">
    <w:abstractNumId w:val="9"/>
  </w:num>
  <w:num w:numId="3">
    <w:abstractNumId w:val="31"/>
  </w:num>
  <w:num w:numId="4">
    <w:abstractNumId w:val="18"/>
  </w:num>
  <w:num w:numId="5">
    <w:abstractNumId w:val="6"/>
  </w:num>
  <w:num w:numId="6">
    <w:abstractNumId w:val="20"/>
  </w:num>
  <w:num w:numId="7">
    <w:abstractNumId w:val="21"/>
  </w:num>
  <w:num w:numId="8">
    <w:abstractNumId w:val="7"/>
  </w:num>
  <w:num w:numId="9">
    <w:abstractNumId w:val="14"/>
  </w:num>
  <w:num w:numId="10">
    <w:abstractNumId w:val="40"/>
  </w:num>
  <w:num w:numId="11">
    <w:abstractNumId w:val="46"/>
  </w:num>
  <w:num w:numId="12">
    <w:abstractNumId w:val="2"/>
  </w:num>
  <w:num w:numId="13">
    <w:abstractNumId w:val="23"/>
  </w:num>
  <w:num w:numId="14">
    <w:abstractNumId w:val="32"/>
  </w:num>
  <w:num w:numId="15">
    <w:abstractNumId w:val="17"/>
  </w:num>
  <w:num w:numId="16">
    <w:abstractNumId w:val="45"/>
  </w:num>
  <w:num w:numId="17">
    <w:abstractNumId w:val="10"/>
  </w:num>
  <w:num w:numId="18">
    <w:abstractNumId w:val="34"/>
  </w:num>
  <w:num w:numId="19">
    <w:abstractNumId w:val="39"/>
  </w:num>
  <w:num w:numId="20">
    <w:abstractNumId w:val="30"/>
  </w:num>
  <w:num w:numId="21">
    <w:abstractNumId w:val="33"/>
  </w:num>
  <w:num w:numId="22">
    <w:abstractNumId w:val="13"/>
  </w:num>
  <w:num w:numId="23">
    <w:abstractNumId w:val="1"/>
  </w:num>
  <w:num w:numId="24">
    <w:abstractNumId w:val="43"/>
  </w:num>
  <w:num w:numId="25">
    <w:abstractNumId w:val="24"/>
  </w:num>
  <w:num w:numId="26">
    <w:abstractNumId w:val="22"/>
  </w:num>
  <w:num w:numId="27">
    <w:abstractNumId w:val="37"/>
  </w:num>
  <w:num w:numId="28">
    <w:abstractNumId w:val="19"/>
  </w:num>
  <w:num w:numId="29">
    <w:abstractNumId w:val="25"/>
  </w:num>
  <w:num w:numId="30">
    <w:abstractNumId w:val="3"/>
  </w:num>
  <w:num w:numId="31">
    <w:abstractNumId w:val="35"/>
  </w:num>
  <w:num w:numId="32">
    <w:abstractNumId w:val="15"/>
  </w:num>
  <w:num w:numId="33">
    <w:abstractNumId w:val="28"/>
  </w:num>
  <w:num w:numId="34">
    <w:abstractNumId w:val="8"/>
  </w:num>
  <w:num w:numId="35">
    <w:abstractNumId w:val="42"/>
  </w:num>
  <w:num w:numId="36">
    <w:abstractNumId w:val="41"/>
  </w:num>
  <w:num w:numId="37">
    <w:abstractNumId w:val="11"/>
  </w:num>
  <w:num w:numId="38">
    <w:abstractNumId w:val="0"/>
  </w:num>
  <w:num w:numId="39">
    <w:abstractNumId w:val="4"/>
  </w:num>
  <w:num w:numId="40">
    <w:abstractNumId w:val="36"/>
  </w:num>
  <w:num w:numId="41">
    <w:abstractNumId w:val="44"/>
  </w:num>
  <w:num w:numId="42">
    <w:abstractNumId w:val="29"/>
  </w:num>
  <w:num w:numId="43">
    <w:abstractNumId w:val="38"/>
  </w:num>
  <w:num w:numId="44">
    <w:abstractNumId w:val="26"/>
  </w:num>
  <w:num w:numId="45">
    <w:abstractNumId w:val="27"/>
  </w:num>
  <w:num w:numId="46">
    <w:abstractNumId w:val="12"/>
  </w:num>
  <w:num w:numId="47">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47995B-52F0-448F-A820-577A4D2B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hr-HR"/>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pPr>
    <w:rPr>
      <w:rFonts w:ascii="Arial" w:eastAsia="Times New Roman" w:hAnsi="Arial" w:cs="Arial"/>
      <w:b/>
      <w:bCs/>
      <w:color w:val="FFFFFF"/>
      <w:sz w:val="16"/>
      <w:szCs w:val="16"/>
      <w:lang w:eastAsia="hr-HR"/>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hr-HR"/>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lang w:eastAsia="hr-HR"/>
    </w:rPr>
  </w:style>
  <w:style w:type="paragraph" w:customStyle="1" w:styleId="xl68">
    <w:name w:val="xl68"/>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hr-HR"/>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center"/>
    </w:pPr>
    <w:rPr>
      <w:rFonts w:ascii="Arial" w:eastAsia="Times New Roman" w:hAnsi="Arial" w:cs="Arial"/>
      <w:b/>
      <w:bCs/>
      <w:color w:val="FFFFFF"/>
      <w:sz w:val="16"/>
      <w:szCs w:val="16"/>
      <w:lang w:eastAsia="hr-HR"/>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lang w:eastAsia="hr-HR"/>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hr-HR"/>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6"/>
      <w:szCs w:val="16"/>
      <w:lang w:eastAsia="hr-HR"/>
    </w:rPr>
  </w:style>
  <w:style w:type="paragraph" w:styleId="Zaglavlje">
    <w:name w:val="header"/>
    <w:basedOn w:val="Normal"/>
    <w:link w:val="ZaglavljeChar"/>
    <w:uiPriority w:val="99"/>
    <w:unhideWhenUsed/>
    <w:pPr>
      <w:tabs>
        <w:tab w:val="center" w:pos="4536"/>
        <w:tab w:val="right" w:pos="9072"/>
      </w:tabs>
      <w:spacing w:after="0" w:line="240" w:lineRule="auto"/>
    </w:pPr>
    <w:rPr>
      <w:rFonts w:ascii="Calibri" w:eastAsia="Calibri" w:hAnsi="Calibri" w:cs="Calibri"/>
    </w:rPr>
  </w:style>
  <w:style w:type="character" w:customStyle="1" w:styleId="ZaglavljeChar">
    <w:name w:val="Zaglavlje Char"/>
    <w:basedOn w:val="Zadanifontodlomka"/>
    <w:link w:val="Zaglavlje"/>
    <w:uiPriority w:val="99"/>
    <w:rPr>
      <w:rFonts w:ascii="Calibri" w:eastAsia="Calibri" w:hAnsi="Calibri" w:cs="Calibri"/>
    </w:rPr>
  </w:style>
  <w:style w:type="paragraph" w:styleId="Podnoje">
    <w:name w:val="footer"/>
    <w:basedOn w:val="Normal"/>
    <w:link w:val="PodnojeChar"/>
    <w:uiPriority w:val="99"/>
    <w:unhideWhenUsed/>
    <w:pPr>
      <w:tabs>
        <w:tab w:val="center" w:pos="4536"/>
        <w:tab w:val="right" w:pos="9072"/>
      </w:tabs>
      <w:spacing w:after="0" w:line="240" w:lineRule="auto"/>
    </w:pPr>
    <w:rPr>
      <w:rFonts w:ascii="Calibri" w:eastAsia="Calibri" w:hAnsi="Calibri" w:cs="Calibri"/>
    </w:rPr>
  </w:style>
  <w:style w:type="character" w:customStyle="1" w:styleId="PodnojeChar">
    <w:name w:val="Podnožje Char"/>
    <w:basedOn w:val="Zadanifontodlomka"/>
    <w:link w:val="Podnoje"/>
    <w:uiPriority w:val="99"/>
    <w:rPr>
      <w:rFonts w:ascii="Calibri" w:eastAsia="Calibri" w:hAnsi="Calibri" w:cs="Calibri"/>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40" w:lineRule="auto"/>
      <w:jc w:val="right"/>
      <w:textAlignment w:val="center"/>
    </w:pPr>
    <w:rPr>
      <w:rFonts w:ascii="Arial" w:eastAsia="Times New Roman" w:hAnsi="Arial" w:cs="Arial"/>
      <w:b/>
      <w:bCs/>
      <w:color w:val="333333"/>
      <w:sz w:val="16"/>
      <w:szCs w:val="16"/>
      <w:lang w:eastAsia="hr-HR"/>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Arial" w:eastAsia="Times New Roman" w:hAnsi="Arial" w:cs="Arial"/>
      <w:b/>
      <w:bCs/>
      <w:sz w:val="16"/>
      <w:szCs w:val="16"/>
      <w:lang w:eastAsia="hr-HR"/>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Arial" w:eastAsia="Times New Roman" w:hAnsi="Arial" w:cs="Arial"/>
      <w:b/>
      <w:bCs/>
      <w:sz w:val="16"/>
      <w:szCs w:val="16"/>
      <w:lang w:eastAsia="hr-HR"/>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Arial" w:eastAsia="Times New Roman" w:hAnsi="Arial" w:cs="Arial"/>
      <w:b/>
      <w:bCs/>
      <w:sz w:val="16"/>
      <w:szCs w:val="16"/>
      <w:lang w:eastAsia="hr-HR"/>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textAlignment w:val="center"/>
    </w:pPr>
    <w:rPr>
      <w:rFonts w:ascii="Arial" w:eastAsia="Times New Roman" w:hAnsi="Arial" w:cs="Arial"/>
      <w:b/>
      <w:bCs/>
      <w:sz w:val="16"/>
      <w:szCs w:val="16"/>
      <w:lang w:eastAsia="hr-HR"/>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jc w:val="right"/>
      <w:textAlignment w:val="center"/>
    </w:pPr>
    <w:rPr>
      <w:rFonts w:ascii="Arial" w:eastAsia="Times New Roman" w:hAnsi="Arial" w:cs="Arial"/>
      <w:b/>
      <w:bCs/>
      <w:sz w:val="16"/>
      <w:szCs w:val="16"/>
      <w:lang w:eastAsia="hr-HR"/>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line="240" w:lineRule="auto"/>
      <w:jc w:val="right"/>
      <w:textAlignment w:val="center"/>
    </w:pPr>
    <w:rPr>
      <w:rFonts w:ascii="Arial" w:eastAsia="Times New Roman" w:hAnsi="Arial" w:cs="Arial"/>
      <w:b/>
      <w:bCs/>
      <w:sz w:val="16"/>
      <w:szCs w:val="16"/>
      <w:lang w:eastAsia="hr-HR"/>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line="240" w:lineRule="auto"/>
      <w:textAlignment w:val="center"/>
    </w:pPr>
    <w:rPr>
      <w:rFonts w:ascii="Arial" w:eastAsia="Times New Roman" w:hAnsi="Arial" w:cs="Arial"/>
      <w:b/>
      <w:bCs/>
      <w:sz w:val="16"/>
      <w:szCs w:val="16"/>
      <w:lang w:eastAsia="hr-HR"/>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line="240" w:lineRule="auto"/>
      <w:jc w:val="right"/>
      <w:textAlignment w:val="center"/>
    </w:pPr>
    <w:rPr>
      <w:rFonts w:ascii="Arial" w:eastAsia="Times New Roman" w:hAnsi="Arial" w:cs="Arial"/>
      <w:b/>
      <w:bCs/>
      <w:sz w:val="16"/>
      <w:szCs w:val="16"/>
      <w:lang w:eastAsia="hr-HR"/>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line="240" w:lineRule="auto"/>
      <w:jc w:val="right"/>
      <w:textAlignment w:val="center"/>
    </w:pPr>
    <w:rPr>
      <w:rFonts w:ascii="Arial" w:eastAsia="Times New Roman" w:hAnsi="Arial" w:cs="Arial"/>
      <w:b/>
      <w:bCs/>
      <w:sz w:val="16"/>
      <w:szCs w:val="16"/>
      <w:lang w:eastAsia="hr-HR"/>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color w:val="FFFFFF"/>
      <w:sz w:val="16"/>
      <w:szCs w:val="16"/>
      <w:lang w:eastAsia="hr-HR"/>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FFFFFF"/>
      <w:sz w:val="16"/>
      <w:szCs w:val="16"/>
      <w:lang w:eastAsia="hr-HR"/>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FFFFFF"/>
      <w:sz w:val="16"/>
      <w:szCs w:val="16"/>
      <w:lang w:eastAsia="hr-HR"/>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Arial" w:eastAsia="Times New Roman" w:hAnsi="Arial" w:cs="Arial"/>
      <w:b/>
      <w:bCs/>
      <w:sz w:val="16"/>
      <w:szCs w:val="16"/>
      <w:lang w:eastAsia="hr-HR"/>
    </w:rPr>
  </w:style>
  <w:style w:type="paragraph" w:customStyle="1" w:styleId="xl90">
    <w:name w:val="xl90"/>
    <w:basedOn w:val="Normal"/>
    <w:pPr>
      <w:pBdr>
        <w:top w:val="single" w:sz="4" w:space="0" w:color="auto"/>
        <w:left w:val="single" w:sz="4" w:space="0" w:color="auto"/>
      </w:pBdr>
      <w:shd w:val="clear" w:color="000000" w:fill="969696"/>
      <w:spacing w:before="100" w:beforeAutospacing="1" w:after="100" w:afterAutospacing="1" w:line="240" w:lineRule="auto"/>
      <w:jc w:val="center"/>
      <w:textAlignment w:val="center"/>
    </w:pPr>
    <w:rPr>
      <w:rFonts w:ascii="Arial" w:eastAsia="Times New Roman" w:hAnsi="Arial" w:cs="Arial"/>
      <w:b/>
      <w:bCs/>
      <w:sz w:val="16"/>
      <w:szCs w:val="16"/>
      <w:lang w:eastAsia="hr-HR"/>
    </w:rPr>
  </w:style>
  <w:style w:type="paragraph" w:customStyle="1" w:styleId="xl91">
    <w:name w:val="xl91"/>
    <w:basedOn w:val="Normal"/>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eastAsia="hr-HR"/>
    </w:rPr>
  </w:style>
  <w:style w:type="paragraph" w:customStyle="1" w:styleId="xl92">
    <w:name w:val="xl92"/>
    <w:basedOn w:val="Normal"/>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93">
    <w:name w:val="xl93"/>
    <w:basedOn w:val="Normal"/>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94">
    <w:name w:val="xl94"/>
    <w:basedOn w:val="Normal"/>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xl95">
    <w:name w:val="xl95"/>
    <w:basedOn w:val="Normal"/>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hr-H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character" w:customStyle="1" w:styleId="BezproredaChar">
    <w:name w:val="Bez proreda Char"/>
    <w:aliases w:val="Zoran Char,Keki Char"/>
    <w:link w:val="Bezproreda"/>
    <w:uiPriority w:val="1"/>
    <w:locked/>
  </w:style>
  <w:style w:type="paragraph" w:styleId="Bezproreda">
    <w:name w:val="No Spacing"/>
    <w:aliases w:val="Zoran,Keki"/>
    <w:link w:val="BezproredaChar"/>
    <w:uiPriority w:val="1"/>
    <w:qFormat/>
    <w:pPr>
      <w:spacing w:after="0" w:line="240" w:lineRule="auto"/>
    </w:pPr>
  </w:style>
  <w:style w:type="character" w:styleId="Hiperveza">
    <w:name w:val="Hyperlink"/>
    <w:basedOn w:val="Zadanifontodlomka"/>
    <w:uiPriority w:val="99"/>
    <w:semiHidden/>
    <w:unhideWhenUsed/>
    <w:rPr>
      <w:color w:val="0563C1"/>
      <w:u w:val="single"/>
    </w:rPr>
  </w:style>
  <w:style w:type="character" w:styleId="SlijeenaHiperveza">
    <w:name w:val="FollowedHyperlink"/>
    <w:basedOn w:val="Zadanifontodlomka"/>
    <w:uiPriority w:val="99"/>
    <w:semiHidden/>
    <w:unhideWhenUsed/>
    <w:rPr>
      <w:color w:val="954F72"/>
      <w:u w:val="single"/>
    </w:r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10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inet.hr/~ureddrza/Grb-rh%20mali.gif" TargetMode="External"/><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image" Target="media/image1.gif"/><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hyperlink" Target="http://www.inet.hr/~ureddrza/Grb-rh%20mali.gif" TargetMode="Externa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23CFC-6C1A-4E3E-B7AB-38B1ED7E2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1189</TotalTime>
  <Pages>52</Pages>
  <Words>10300</Words>
  <Characters>58716</Characters>
  <Application>Microsoft Office Word</Application>
  <DocSecurity>0</DocSecurity>
  <Lines>489</Lines>
  <Paragraphs>137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21</cp:revision>
  <dcterms:created xsi:type="dcterms:W3CDTF">2023-09-21T07:45:00Z</dcterms:created>
  <dcterms:modified xsi:type="dcterms:W3CDTF">2023-11-13T12:35:00Z</dcterms:modified>
</cp:coreProperties>
</file>