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hyperlink r:id="rId6" w:tgtFrame="_top" w:history="1">
        <w:r>
          <w:rPr>
            <w:rFonts w:ascii="Times New Roman" w:eastAsia="Times New Roman" w:hAnsi="Times New Roman" w:cs="Times New Roman"/>
            <w:lang w:eastAsia="hr-HR"/>
          </w:rPr>
          <w:t xml:space="preserve">                           </w:t>
        </w:r>
        <w:r>
          <w:rPr>
            <w:rFonts w:ascii="Times New Roman" w:eastAsia="Times New Roman" w:hAnsi="Times New Roman" w:cs="Times New Roman"/>
            <w:noProof/>
            <w:color w:val="0000CC"/>
            <w:lang w:eastAsia="hr-HR"/>
          </w:rPr>
          <w:drawing>
            <wp:inline distT="0" distB="0" distL="0" distR="0">
              <wp:extent cx="523875" cy="619125"/>
              <wp:effectExtent l="0" t="0" r="9525" b="9525"/>
              <wp:docPr id="85" name="Slika 85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7" r:link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OPĆINSKO VIJEĆE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KLASA: 400-06/24-01/3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URBROJ: 2182-19-24-1</w:t>
      </w: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Bilice, 27. rujna 2024.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88. Zakona o proračunu ("Narodne novine", broj 144/21), Pravilnika o godišnjem i polugodišnjem izvještaju o izvršenju proračuna ("Narodne novine", broj 85/23) i članka i članka 28. Statuta Općine Bilice („Službeni vjesnik Šibensko-kninske županije“, broj 10/09, 5/13 i 8/13 i „Službeni glasnik Općine Bilice“, broj 3/18, 5/18, 1/21, 6/21-pročišćeni tekst i 9/23),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 vijeće Općine Bilice na 28. sjednici, od 27. rujna 2024. godine, donosi</w:t>
      </w:r>
    </w:p>
    <w:p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POLUGODIŠNJE IZVJEŠĆE O 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IZVRŠENJU PRORAČUNA OPĆINE BILICE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RAZDOBLJE OD 01.01. DO 30.06.2024. GODINE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Proračun Općine Bilice za razdoblje od 01. siječnja do 30. lipnja 2024. godine ostvaren je, kako slijedi: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A: Računa prihoda i rashoda, B. Računa financiranja i C. Raspoloživa sredstva iz prethodnih godina.</w:t>
      </w:r>
    </w:p>
    <w:tbl>
      <w:tblPr>
        <w:tblW w:w="9951" w:type="dxa"/>
        <w:jc w:val="center"/>
        <w:tblLook w:val="04A0" w:firstRow="1" w:lastRow="0" w:firstColumn="1" w:lastColumn="0" w:noHBand="0" w:noVBand="1"/>
      </w:tblPr>
      <w:tblGrid>
        <w:gridCol w:w="3963"/>
        <w:gridCol w:w="1222"/>
        <w:gridCol w:w="1321"/>
        <w:gridCol w:w="1223"/>
        <w:gridCol w:w="1079"/>
        <w:gridCol w:w="1143"/>
      </w:tblGrid>
      <w:tr>
        <w:trPr>
          <w:trHeight w:val="440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Račun / opis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2023. €</w:t>
            </w:r>
          </w:p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1-6.2023.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2024. €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2024. €</w:t>
            </w:r>
          </w:p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1-6.2024.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3/1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3/2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A. RAČUN PRIHODA I RASHODA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5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 Prihodi poslovanja                                                                                 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915.502,70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2.561.478,83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823.081,59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89,90%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32,13%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7 Prihodi od prodaje nefinancijske imovine                                                           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UKUPNI PRIHODI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915.502,70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2.561.478,83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823.081,59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89,90%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32,13%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 Rashodi poslovanja                                                                                 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381.131,97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1.224.101,52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373.361,15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97,96%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30,50%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 Rashodi za nabavu nefinancijske imovine                                                            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321.580,92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1.670.001,88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162.586,21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50,56%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9,74%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UKUPNI RASHODI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702.712,89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2.894.103,40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535.947,36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76,27%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18,52%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VIŠAK / MANJAK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212.789,81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-332.624,57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287.134,23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134,94%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-86,32%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B. RAČUN ZADUŽIVANJA / FINANCIRANJA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8 Primici od financijske imovine i zaduživanja                                                       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-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5 Izdaci za financijsku imovinu i otplate zajmova                                                    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31.600,65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75.900,00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120,00%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NETO ZADUŽIVANJE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-31.600,65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-75.900,00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-37.920,78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120,00%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>UKUPNI DONOS VIŠKA / MANJKA IZ    PRETHODNE(IH) GODINA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-</w:t>
            </w:r>
          </w:p>
        </w:tc>
      </w:tr>
      <w:tr>
        <w:trPr>
          <w:trHeight w:val="502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VIŠAK / MANJAK IZ PRETHODNE(IH) GODINE KOJI ĆE SE POKRITI / RASPOREDITI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408.524,57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502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C. VIŠAK / MANJAK + NETO ZADUŽIVANJE / FINANCIRANJE + KORIŠTENO U PRETHODNIM GODINAMA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</w:tr>
      <w:tr>
        <w:trPr>
          <w:trHeight w:val="258"/>
          <w:jc w:val="center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REZULTAT GODINE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181.189,16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249.213,45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137,54%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0,00%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2.</w:t>
      </w:r>
    </w:p>
    <w:p>
      <w:pPr>
        <w:pStyle w:val="Odlomakpopisa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Račun prihoda i rashoda</w:t>
      </w:r>
    </w:p>
    <w:p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i rashodi po ekonomskoj klasifikaciji utvrđeni u Računu prihoda i rashoda u prvom polugodištu 2024. godine ostvareni su, kako slijedi:</w:t>
      </w:r>
    </w:p>
    <w:tbl>
      <w:tblPr>
        <w:tblW w:w="10074" w:type="dxa"/>
        <w:jc w:val="center"/>
        <w:tblLook w:val="04A0" w:firstRow="1" w:lastRow="0" w:firstColumn="1" w:lastColumn="0" w:noHBand="0" w:noVBand="1"/>
      </w:tblPr>
      <w:tblGrid>
        <w:gridCol w:w="4934"/>
        <w:gridCol w:w="1102"/>
        <w:gridCol w:w="1151"/>
        <w:gridCol w:w="1102"/>
        <w:gridCol w:w="1026"/>
        <w:gridCol w:w="759"/>
      </w:tblGrid>
      <w:tr>
        <w:trPr>
          <w:trHeight w:val="43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Račun / opis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2023. €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2024. €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2024. €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3/1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3/2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A. RAČUN PRIHODA I RASHODA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5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6 Prihodi poslovanja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915.502,70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2.561.478,83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823.081,59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89,90%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32,13%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61 Prihodi od poreza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616.324,68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1.049.701,52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536.661,23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87,07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51,13%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611 Porez i prirez na dohodak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479.785,19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394.303,80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82,18%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6111 Porez i prirez na dohodak od nesamostalnog rada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479.785,19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394.303,80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82,18%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613 Porezi na imovinu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133.373,07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135.670,91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101,72%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6131 Stalni porezi na nepokretnu imovinu (zemlju, zgrade, kuće i ostalo)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15.380,44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38.939,79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253,18%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6134 Povremeni porezi na imovinu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117.992,63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96.731,12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81,98%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614 Porezi na robu i usluge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3.166,42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6.686,52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211,17%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6142 Porez na promet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2.529,35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6.686,52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264,36%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6145 Porezi na korištenje dobara ili izvođenje aktivnosti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637,07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63 Pomoći iz inozemstva i od subjekata unutar općeg proračuna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148.409,50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1.046.077,31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141.857,22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95,58%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13,56%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633 Pomoći proračunu iz drugih proračuna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148.409,50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141.857,22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95,58%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6331 Tekuće pomoći proračunu iz drugih proračuna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148.409,50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141.857,22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95,58%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64 Prihodi od imovine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29.482,58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41.000,00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28.154,52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95,50%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68,67%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642 Prihodi od nefinancijske imovine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29.482,58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28.154,52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95,50%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6421 Naknade za koncesije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5.906,04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3.797,50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64,30%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6422 Prihodi od zakupa i iznajmljivanja imovine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23.536,74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23.642,94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100,45%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6429 Ostali prihodi od nefinancijske imovine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39,80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714,08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1794,17%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65 Prihodi od upravnih i administrativnih pristojbi, pristojbi po posebnim propisima i naknada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103.355,15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405.200,00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108.560,62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105,04%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26,79%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651 Upravne i administrativne pristojbe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1.791,13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2.386,63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133,25%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6514 Ostale pristojbe i naknade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1.791,13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2.386,63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133,25%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653 Komunalni doprinosi i naknade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101.564,02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106.173,99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104,54%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6531 Komunalni doprinosi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51.529,39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33.600,87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65,21%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6532 Komunalne naknade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50.034,63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72.573,12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145.05%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66 Prihodi od prodaje proizvoda i robe te pruženih usluga i prihodi od donacija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17.472,33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13.600,00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7.651,82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43,79%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56,26%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663 Donacije od pravnih i fizičkih osoba izvan općeg proračuna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17.472,33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7.651,82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43,79%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6631 Tekuće donacije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17.472,33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7.651,82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43,79%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68 Kazne, upravne mjere i ostali prihodi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458,46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5.900,00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196,18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42,79%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3,33%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683 Ostali prihodi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458,46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196,18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42,79%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6831 Ostali prihodi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458,46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196,18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42,79%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3 Rashodi poslovanja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381.131,97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1.224.101,52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373.361,15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97,96%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30,50%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31 Rashodi za zaposlene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61.896,85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167.000,00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66.047,29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106,71%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39,55%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 xml:space="preserve">311 Plaće (Bruto) 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42.985,04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43.550,07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101,31%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3111 Plaće za redovan rad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42.985,04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43.550,07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101,31%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312 Ostali rashodi za zaposlene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331,81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4.061,32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1223,99%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3121 Ostali rashodi za zaposlene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331,81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4.061,32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1223,99%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313 Doprinosi na plaće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18.580,00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18.435,90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99,22%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3131 Doprinosi za mirovinsko osiguranje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10.746,22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10.546,91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98,15%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3132 Doprinosi za obvezno zdravstveno osiguranje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7.833,78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7.888,99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100,70%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32 Materijalni rashodi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179.947,43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621.201,52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145.195,34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80,69%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23,37%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321 Naknade troškova zaposlenima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1.410,88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3.350,18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237,45%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3211 Službena putovanja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106,18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1.092,91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1029,30%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3212 Naknade za prijevoz, za rad na terenu i odvojeni život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1.074,70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1.013,27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94,28%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3213 Stručno usavršavanje zaposlenika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1.244,00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540,87%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322 Rashodi za materijal i energiju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29.059,04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22.780,69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78,39%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3221 Uredski materijal i ostali materijalni rashodi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1.992,68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2.782,83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139,65%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3223 Energija      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26.050,61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18.654,11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71,61%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3224 Materijal i dijelovi za tekuće i investicijsko održavanje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1.015,75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346,63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34,13%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3225 Sitni inventar i auto gume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997,12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 Rashodi za usluge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139.383,99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103.552,26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74,29%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3231 Usluge telefona, pošte i prijevoza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4.121,80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8.949,75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217,13%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3232 Usluge tekućeg i investicijskog održavanja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101.265,22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66.972,18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66,14%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3233 Usluge promidžbe i informiranja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258,80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2.158,25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833,95%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3234 Komunalne usluge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2.041,33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4.757,34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233,05%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3235 Zakupnine i najamnine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7.590,78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601,52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7,92%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3237 Intelektualne i osobne usluge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14.954,39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8.956,26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59,89%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3238 Računalne usluge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6.919,59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7.274,30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105,13%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3239 Ostale usluge 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2.232,08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3.882,66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173,95%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329 Ostali nespomenuti rashodi poslovanja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10.093,52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15.512,21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153,68%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3291 Naknade za rad predstavničkih i izvršnih tijela, povjerenstava i slično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5.975,22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5.781,48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96,76%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3292 Premije osiguranja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312,72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3293 Reprezentacija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1.402,26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1.189,11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84,80%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3295 Pristojbe i naknade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57,81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3296 Troškovi sudskih postupaka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26,54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119,45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450,08%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3299 Ostali nespomenuti rashodi poslovanja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2.376,78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8.364,36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351,92%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34 Financijski rashodi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8.579,34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22.100,00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7.706,85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89,83%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34,87%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342 Kamate za primljene kredite i zajmove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1.714,93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1.469,72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85,70%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3423 Kamate za primljene kredite i zajmove od kreditnih i ostalih financijskih institucija izvan javnog s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1.714,93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1.469,72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85,70%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343 Ostali financijski rashodi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6.864,41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6.237,13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90,86%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3431 Bankarske usluge i usluge platnog prometa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683,64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777,87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113,78%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3433 Zatezne kamate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13,67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3434 Ostali nespomenuti financijski rashodi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6.167,10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5.459,26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88,52%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37 Naknade građanima i kućanstvima na temelju osiguranja i druge naknade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92.605,13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274.100,00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94.797,80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102,37%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34,59%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372 Ostale naknade građanima i kućanstvima iz proračuna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92.605,13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94.797,80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102,37%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3721 Naknade građanima i kućanstvima u novcu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11.691,62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11.731,38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100,34%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3722 Naknade građanima i kućanstvima u naravi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80.913,51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83.066,42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102,66%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38 Ostali rashodi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38.103,22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139.700,00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59.613,87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156,45%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42,67%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381 Tekuće donacije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38.103,22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59.613,87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156,45%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3811 Tekuće donacije u novcu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38.103,22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59.613,87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156,45%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4 Rashodi za nabavu nefinancijske imovine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321.580,92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1.670.001,88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162.586,21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50,56%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9,74%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41 Rashodi za nabavu neproizvedene dugotrajne imovine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2.600,00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1.375,00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52,88%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3,44%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412 Nematerijalna imovina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2.600,00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1.375,00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52,88%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4126 Ostala nematerijalna imovina    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2.600,00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1.375,00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52,88%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lastRenderedPageBreak/>
              <w:t xml:space="preserve">42 Rashodi za nabavu proizvedene dugotrajne imovine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318.980,92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1.630.001,88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161.211,21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50,54%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9,89%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421 Građevinski objekti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299.111,23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140.318,96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46,91%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4212 Poslovni objekti    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297.711,23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358,93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0,12%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4214 Ostali građevinski objekti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139.960,03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9997,15%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422 Postrojenja i oprema      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16.460,31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20.892,25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126,93%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4221 Uredska oprema i namještaj   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15.160,58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1.743,38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11,50%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4222 Komunikacijska oprema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1.250,00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4223 Oprema za održavanje i zaštitu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49,73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6.384,38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12838,09%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4227 Uređaji, strojevi i oprema za ostale namjene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12.764,49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426 Nematerijalna proizvedena imovina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3.409,38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4262 Ulaganja u računalne programe                                                                     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3.409,38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i rashodi po izvorima financiranja utvrđeni u Računu prihoda i rashoda za izvještajno razdoblje od 01.01. do 30.06.2024. godine ostvareni su, kako slijedi:</w:t>
      </w:r>
    </w:p>
    <w:p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928" w:type="dxa"/>
        <w:jc w:val="center"/>
        <w:tblLook w:val="04A0" w:firstRow="1" w:lastRow="0" w:firstColumn="1" w:lastColumn="0" w:noHBand="0" w:noVBand="1"/>
      </w:tblPr>
      <w:tblGrid>
        <w:gridCol w:w="4528"/>
        <w:gridCol w:w="1151"/>
        <w:gridCol w:w="1151"/>
        <w:gridCol w:w="1151"/>
        <w:gridCol w:w="1026"/>
        <w:gridCol w:w="921"/>
      </w:tblGrid>
      <w:tr>
        <w:trPr>
          <w:trHeight w:val="526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Račun / opis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2023. €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2024. €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2024. €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3/1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3/2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PRIHODI I RASHODI PREMA IZVORIMA FINANCIRANJA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 xml:space="preserve"> SVEUKUPNI PRIHODI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915.502,70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2.561.478,83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823.081,59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89,90%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32,13%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646.387,85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1.099.301,52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565.011,93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87,41%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51,40%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1.1. PRIHOD OD POREZA (61)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616.324,68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1.049.701,52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536.661,23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87,07%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51,13%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1.3. PRIHODI OD NEFINANCIJSKE IMOVINE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29.482,58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41.000,00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28.154,52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95,50%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68,67%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Izvori 1.4. PRIHODI OD ADMINISTRATIVNIH (UPRAVNIH) PRISTOJBI (65)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122,13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Izvor. 1.9. OPĆI PRIHODI I PRIMICI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458,46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6.600,00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196,18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42,79%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2,97%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101.564,02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384.000,00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106.173,99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104,54%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27,65%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4.3. PRIHODI OD KOMUNALNE NAKNADE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50.034,63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185.800,00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72.573,12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145,05%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39,06%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4.4. PRIHODI OD KOMUNALNOG DOPRINOSA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51.529,39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198.200,00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33.600,87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65,21%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16,95%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148.409,50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1.046.077,31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141.857,22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95,58%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13,56%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5.5. TEKUĆE POMOĆI IZ DRŽAVNOG PRORAČUNA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144.409,50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282.400,00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141.857,22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98,23%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50,23%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Izvor 5.6. TEKUĆE POMOĆI IZ ŽUPANIJSKOG PRORAČUNA 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5.8. KAPITALNE POMOĆI IZ ŽUPANIJSKOG PRORAČUNA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5.9. KAPITALNE POMOĆI IZ DRŽAVNOG PRORAČUNA TEMELJEM PRIJENOSA EU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736.677,31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19.141,33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32.100,00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10.038,45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52,44%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31,27%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6.1. PRIHODI OSTVARENI OD FIZIČKIH OSOBA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3.395,99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7.451,82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219,43%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106,45%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6.2. PRIHODI OD NEPROFITNIH ORGANIZACIJA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1.669,00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18.500,00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2.386,63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143,00%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12,90%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6.3. PRIHODI OD TRGOVAČKIH DRUŠTAVA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14.076,34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6.600,00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1,42%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3,03%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 xml:space="preserve"> SVEUKUPNI RASHODI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664.377,46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2.894.103,40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535.947,36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80,67%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18,52%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298.844,44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1.023.401,52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362.644,98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121,35%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35,44%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1.1. PRIHOD OD POREZA (61)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289.688,63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973.801,52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343.558,02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118,60%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35,20%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1.3. PRIHODI OD NEFINANCIJSKE IMOVINE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9.155,81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41.000,00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17.426,24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190,33%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42,50%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Izvori 1.4. PRIHODI OD ADMINISTRATIVNIH (UPRAVNIH) PRISTOJBI (65)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997,12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49,86%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Izvor. 1.9. OPĆI PRIHODI I PRIMICI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6.600,00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663,60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10,05%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29.463,16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384.000,00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42.242,78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143,37%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11,00%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4.3. PRIHODI OD KOMUNALNE NAKNADE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29.463,16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185.800,00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18.938,40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64,28%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10,19%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4.4. PRIHODI OD KOMUNALNOG DOPRINOSA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198.200,00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23.304,38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11,76%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93.081,18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1.046.077,31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89.132,04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95,76%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8,52%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5.5. TEKUĆE POMOĆI IZ DRŽAVNOG PRORAČUNA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82.311,83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282.400,00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84.529,08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102,69%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29,93%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lastRenderedPageBreak/>
              <w:t>Izvor 5.8. KAPITALNE POMOĆI IZ ŽUPANIJSKOG PRORAČUNA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10.769,35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4.244,03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39,41%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15,72%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5.9. KAPITALNE POMOĆI IZ DRŽAVNOG PRORAČUNA TEMELJEM PRIJENOSA EU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736.677,31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358,93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0,05%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6. DONACIJE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4.053,42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32.100,00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9.468,32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233,59%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29,50%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6.1. PRIHODI OSTVARENI OD FIZIČKIH OSOBA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6.2. PRIHODI OD NEPROFITNIH ORGANIZACIJA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1.799,64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18.500,00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6.476,42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359,87%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35,01%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6.3. PRIHODI OD TRGOVAČKIH DRUŠTAVA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2.253,78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6.600,00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2.991,90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132,75%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45,33%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 8. NAMJENSKI IZVORI ZA PROGRAM GRAĐENJA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238.935,26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408.524,57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32.459,24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13,58%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7,95%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8.1. VIŠAK PRIHODA IZ PRETHODNE GODINE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408.524,57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32.459,24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7,95%</w:t>
            </w:r>
          </w:p>
        </w:tc>
      </w:tr>
      <w:tr>
        <w:trPr>
          <w:trHeight w:val="255"/>
          <w:jc w:val="center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Izvor 8.2. VIŠAK PRIHODA OD KREDITA IZ PRETHODNE GODINE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238.935,26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0,00%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prema funkcijskoj klasifikaciji utvrđeni u Računu prihoda i rashoda za izvještajno razdoblje od 01.01. do 30.06.2024. godine ostvareni su, kako slijedi:</w:t>
      </w:r>
    </w:p>
    <w:tbl>
      <w:tblPr>
        <w:tblW w:w="10055" w:type="dxa"/>
        <w:jc w:val="center"/>
        <w:tblLook w:val="04A0" w:firstRow="1" w:lastRow="0" w:firstColumn="1" w:lastColumn="0" w:noHBand="0" w:noVBand="1"/>
      </w:tblPr>
      <w:tblGrid>
        <w:gridCol w:w="4904"/>
        <w:gridCol w:w="1132"/>
        <w:gridCol w:w="1151"/>
        <w:gridCol w:w="1132"/>
        <w:gridCol w:w="937"/>
        <w:gridCol w:w="834"/>
      </w:tblGrid>
      <w:tr>
        <w:trPr>
          <w:trHeight w:val="510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Račun/Opis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2023 €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2024 €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2024 €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3/1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3/2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Funkcijska klasifikacija  SVEUKUPNI RASHODI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702.712,89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2.894.103,40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535.947,36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76,27%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18,52%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01 Opće javne usluge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149.591,95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399.400,00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157.729,82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105,44%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39,49%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011 "Izvršna  i zakonodavna tijela, financijski i fiskalni poslovi, vanjski poslovi"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6.234,02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15.900,00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7.939,73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127,36%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49,94%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013 Opće usluge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140.409,18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363.500,00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145.504,94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103,63%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40,03%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016 Opće javne usluge koje nisu drugdje svrstane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2.948,75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4.285,15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145,32%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21,43%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03 Javni red i sigurnost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2.115,20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52,88%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036 Rashodi za javni red i sigurnost koji nisu drugdje svrstani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2.115,20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52,88%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04 Ekonomski poslovi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52.979,18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387.300,00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55.473,71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104,71%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14,32%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041 Opći ekonomski, trgovački i poslovi vezani uz rad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5.400,00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043 Gorivo i energija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22.747,72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92.900,00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16.277,02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71,55%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17,52%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044 Rudarstvo, proizvodnja i građevinarstvo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26.500,00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23.304,38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87,94%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045 Promet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21.787,44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214.800,00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7.242,29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33,24%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3,37%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047 Ostale industrije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8.444,02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37.300,00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8.650,02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102,44%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23,19%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049 Ekonomski poslovi koji nisu drugdje svrstani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10.400,00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05 Zaštita okoliša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14.551,20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72.500,00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17.215,26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118,31%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23,75%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051 Gospodarenje otpadom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14.551,20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47.200,00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15.918,06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109,39%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33,72%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056 Poslovi i usluge zaštite okoliša koji nisu drugdje svrstani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25.300,00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1.297,20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5,13%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06 Usluge unapređenja stanovanja i zajednice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333.845,47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1.576.001,88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187.054,97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56,03%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11,87%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062 Razvoj zajednice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290.932,66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1.233.401,88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48.673.04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16,73%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3,95%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063 Opskrba vodom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42.324,96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28,22%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064 Ulična rasvjeta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41.627,06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147.600,00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80.356,97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193,04%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54,44%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066 Rashodi vezani za stanovanje i kom. pogodnosti koji nisu drugdje svrstani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1.285,75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15.700,00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1221,08%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34,89%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07 Zdravstvo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3.609,12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10.601,52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3.726,52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103,25%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35,15%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072 Službe za vanjske pacijente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3.609,12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1.901,52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601,52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16,67%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31,63%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074 Službe javnog zdravstva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3.125,00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52,08%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076 Poslovi i usluge zdravstva koji nisu drugdje svrstani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2.700,00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08 "Rekreacija, kultura i religija"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60.175,97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181.700,00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22.249,43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36,97%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12,25%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081 Službe rekreacije i sporta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107.200,00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084 Religijske i druge službe zajednice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58.775,95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24.500,00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22.249,43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37,85%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90,81%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086 Rashodi za rekreaciju, kulturu i religiju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lastRenderedPageBreak/>
              <w:t>Funkcijska klasifikacija 09 Obrazovanje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74.014,60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215.400,00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75.659,17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102,22%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35,12%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091 Predškolsko i osnovno obrazovanje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74.014,60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73.959,17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99,93%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36,98%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095 Obrazovanje koje se ne može definirati po stupnju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3.400,00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50,00%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098 Usluge obrazovanja koje nisu drugdje svrstane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Funkcijska klasifikacija 10 Socijalna zaštita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13.945,40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47.200,00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14.723,28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105,58%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31,19%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107 Socijalna pomoć stanovništvu koje nije obuhvaćeno redovnim socijalnim programima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2.253,78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6.600,00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2.991,90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132,75%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45,33%</w:t>
            </w:r>
          </w:p>
        </w:tc>
      </w:tr>
      <w:tr>
        <w:trPr>
          <w:trHeight w:val="254"/>
          <w:jc w:val="center"/>
        </w:trPr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Funkcijska klasifikacija 109 Aktivnosti socijalne zaštite koje nisu drugdje svrstane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11.691,62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40.600,00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11.731,38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100,34%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28,90%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Primici i izdaci po ekonomskoj klasifikaciji utvrđeni u Računu financiranja za izvještajno razdoblje od 01.01. do 30.06.2024. godine ostvareni su, kako slijedi:</w:t>
      </w: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5414"/>
        <w:gridCol w:w="1017"/>
        <w:gridCol w:w="1151"/>
        <w:gridCol w:w="1017"/>
        <w:gridCol w:w="848"/>
        <w:gridCol w:w="855"/>
      </w:tblGrid>
      <w:tr>
        <w:trPr>
          <w:trHeight w:val="522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Račun/Opis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2024 €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2024 €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3/1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3/2</w:t>
            </w: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B. RAČUN ZADUŽIVANJA FINANCIRANJA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5</w:t>
            </w: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5 Izdaci za financijsku imovinu i otplate zajmova                                                    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31.600,65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75.900,00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120,00%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54 Izdaci za otplatu glavnice primljenih kredita i zajmova                                            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31.600,65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75.900,00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120,00%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544 Otplata glavnice primljenih kredita i zajmova od kreditnih i ostalih financijskih institucija izvan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31.600,65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120,00%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5443 Otplata glavnice primljenih kredita od tuzemnih kreditnih institucija izvan javnog sektora         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31.600,65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120,00%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 xml:space="preserve"> NETO FINANCIRANJE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-31.600,65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332.624,57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-37.920,78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120,00%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-11,40%</w:t>
            </w: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 Vlastiti izvori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408.524,57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92 Rezultat poslovanja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408,524,57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</w:tr>
      <w:tr>
        <w:trPr>
          <w:trHeight w:val="238"/>
          <w:jc w:val="center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 xml:space="preserve"> KORIŠTENJE SREDSTAVA IZ PRETHODNIH GODINA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408.524,57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Primici i izdaci po izvorima financiranja utvrđeni u Računu financiranja za izvještajno razdoblje od 01.01. do 30.06.2024. godine ostvareni su, kako slijedi:</w:t>
      </w:r>
    </w:p>
    <w:tbl>
      <w:tblPr>
        <w:tblW w:w="10130" w:type="dxa"/>
        <w:jc w:val="center"/>
        <w:tblLook w:val="04A0" w:firstRow="1" w:lastRow="0" w:firstColumn="1" w:lastColumn="0" w:noHBand="0" w:noVBand="1"/>
      </w:tblPr>
      <w:tblGrid>
        <w:gridCol w:w="5205"/>
        <w:gridCol w:w="1098"/>
        <w:gridCol w:w="1098"/>
        <w:gridCol w:w="1098"/>
        <w:gridCol w:w="848"/>
        <w:gridCol w:w="790"/>
      </w:tblGrid>
      <w:tr>
        <w:trPr>
          <w:trHeight w:val="565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Račun / opis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2023. €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2024. €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2024. €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3/1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 3/2</w:t>
            </w: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B. RAČUN ZADUŽIVANJA FINANCIRANJA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</w:t>
            </w: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 xml:space="preserve">1.OPĆI PRIHODI I PRIMICI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31.600,65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75.900,00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120,00%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1.1.PRIHODI OD POREZA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31.600,65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75.900,00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37.920,78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120,00%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NETO FINANCIRANJE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-31.600,65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-75.900,00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-37.920,78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120,00%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49,96%</w:t>
            </w: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  <w:t>KORIŠTENJE SREDSTAVA IZ PRETHODNIH GODINA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  <w:t>408.524,57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hr-HR"/>
              </w:rPr>
            </w:pP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 NAMJENSKI IZVORI ZA PROGRAM GRAĐENJA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408.524,57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>
        <w:trPr>
          <w:trHeight w:val="274"/>
          <w:jc w:val="center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8.2. VIŠAK PRIHODA IZ PRETHODNE GODINE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408.524,57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i izdaci utvrđeni u Posebnom dijelu Općine Bilice za izvještajno razdoblje od 01.01. do 30.06.2024. godine, iskazani po organizacijskoj i programskoj klasifikaciji izvršeni su kako slijedi: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IZVRŠENJE PO ORGANIZACIJSKOJ KLASIFIKACIJI</w:t>
      </w:r>
    </w:p>
    <w:tbl>
      <w:tblPr>
        <w:tblW w:w="10017" w:type="dxa"/>
        <w:jc w:val="center"/>
        <w:tblLook w:val="04A0" w:firstRow="1" w:lastRow="0" w:firstColumn="1" w:lastColumn="0" w:noHBand="0" w:noVBand="1"/>
      </w:tblPr>
      <w:tblGrid>
        <w:gridCol w:w="1188"/>
        <w:gridCol w:w="957"/>
        <w:gridCol w:w="4749"/>
        <w:gridCol w:w="1151"/>
        <w:gridCol w:w="1041"/>
        <w:gridCol w:w="1041"/>
      </w:tblGrid>
      <w:tr>
        <w:trPr>
          <w:trHeight w:val="272"/>
          <w:jc w:val="center"/>
        </w:trPr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RGP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Opis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2024 €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2024 €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Indeks 2/1</w:t>
            </w:r>
          </w:p>
        </w:tc>
      </w:tr>
      <w:tr>
        <w:trPr>
          <w:trHeight w:val="272"/>
          <w:jc w:val="center"/>
        </w:trPr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</w:t>
            </w:r>
          </w:p>
        </w:tc>
      </w:tr>
      <w:tr>
        <w:trPr>
          <w:trHeight w:val="272"/>
          <w:jc w:val="center"/>
        </w:trPr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UKUPNO RASHODI I IZDATCI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2.970.003,40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573.868,14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19,32%</w:t>
            </w:r>
          </w:p>
        </w:tc>
      </w:tr>
      <w:tr>
        <w:trPr>
          <w:trHeight w:val="272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Razdjel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001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JEDINSTVENI UPRAVNI ODJEL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326.900,00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127.437,76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38,98%</w:t>
            </w:r>
          </w:p>
        </w:tc>
      </w:tr>
      <w:tr>
        <w:trPr>
          <w:trHeight w:val="272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Glava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00101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JEDINSTVENI UPRAVNI ODJEL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326.900,00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127.437,76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38,98%</w:t>
            </w:r>
          </w:p>
        </w:tc>
      </w:tr>
      <w:tr>
        <w:trPr>
          <w:trHeight w:val="272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Razdjel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002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URED NAČELNIKA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9.400,00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3.347,36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35,61%</w:t>
            </w:r>
          </w:p>
        </w:tc>
      </w:tr>
      <w:tr>
        <w:trPr>
          <w:trHeight w:val="272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Glava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00201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URED NAČELNIKA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9.400,00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3.347,36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35,61%</w:t>
            </w:r>
          </w:p>
        </w:tc>
      </w:tr>
      <w:tr>
        <w:trPr>
          <w:trHeight w:val="272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99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  <w:t>Razdjel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99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99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  <w:t>OPĆINSKO VIJEĆE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99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  <w:t>2.633.703,40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99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  <w:t>443.083,02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99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hr-HR"/>
              </w:rPr>
              <w:t>16,82%</w:t>
            </w:r>
          </w:p>
        </w:tc>
      </w:tr>
      <w:tr>
        <w:trPr>
          <w:trHeight w:val="272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Glava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00301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OPĆINSKO VIJEĆE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2.633.703,40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443.083,02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16,82%</w:t>
            </w:r>
          </w:p>
        </w:tc>
      </w:tr>
    </w:tbl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  <w:sect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IZVRŠENJE PO PROGRAMSKOJ KLASIFIKACIJI</w:t>
      </w:r>
    </w:p>
    <w:p>
      <w:pPr>
        <w:pStyle w:val="Odlomakpopisa"/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drawing>
          <wp:inline distT="0" distB="0" distL="0" distR="0">
            <wp:extent cx="8892540" cy="5025439"/>
            <wp:effectExtent l="0" t="0" r="3810" b="381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2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315168"/>
            <wp:effectExtent l="0" t="0" r="381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1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025439"/>
            <wp:effectExtent l="0" t="0" r="3810" b="381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2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170592"/>
            <wp:effectExtent l="0" t="0" r="381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7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611836"/>
            <wp:effectExtent l="0" t="0" r="3810" b="8255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11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025439"/>
            <wp:effectExtent l="0" t="0" r="3810" b="381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2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170592"/>
            <wp:effectExtent l="0" t="0" r="381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7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025439"/>
            <wp:effectExtent l="0" t="0" r="3810" b="381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2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315168"/>
            <wp:effectExtent l="0" t="0" r="381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1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4873346"/>
            <wp:effectExtent l="0" t="0" r="3810" b="381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873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467261"/>
            <wp:effectExtent l="0" t="0" r="3810" b="635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7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467261"/>
            <wp:effectExtent l="0" t="0" r="3810" b="635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7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5170592"/>
            <wp:effectExtent l="0" t="0" r="381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7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4873346"/>
            <wp:effectExtent l="0" t="0" r="3810" b="381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873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4873346"/>
            <wp:effectExtent l="0" t="0" r="3810" b="381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873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drawing>
          <wp:inline distT="0" distB="0" distL="0" distR="0">
            <wp:extent cx="8892540" cy="1781168"/>
            <wp:effectExtent l="0" t="0" r="3810" b="0"/>
            <wp:docPr id="64" name="Slika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781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ZAVRŠNA ODREDBA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4.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korištenju proračunske zalihe, Izvještaj o zaduživanju na domaćem i stranom tržištu novca i kapitala, Izvještaj o danim jamstvima i plaćanjima po protestnim jamstvima te Obrazloženje ostvarenja prihoda i primitaka, rashoda i izdataka sastavni su dio Polugodišnjeg izvještaja o izvršenju Proračuna Općine Bilice za razdoblje od 01.01. do 30.06.2024. godine.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5.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Polugodišnji izvještaj o izvršenju Proračuna Općine Bilice za 2024. godinu objavit će se u „Službenom glasniku Općine Bilice“.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PREDSJEDNIK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  <w:sectPr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Vatko Petrović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OBRAZLOŽENJE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 POLUGODIŠNJI IZJEŠTAJ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IZVRŠENJU PRORAČUNA OPĆINE BILICE 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2024.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Pravilnikom o polugodišnjem i godišnjem izvještaju o izvršenju proračuna („Narodne novine“, broj 85/23) utvrđeno je da polugodišnji izvještaj o izvršenju proračuna jedinice lokalne samouprave sadrži:</w:t>
      </w:r>
    </w:p>
    <w:p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 DIO</w:t>
      </w:r>
    </w:p>
    <w:p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POSEBAN DIO</w:t>
      </w:r>
    </w:p>
    <w:p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POSEBNI IZVJEŠTAJI</w:t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od izvršenju općeg dijela proračuna za razdoblje od 01. siječnja do 30. lipnja 2023. sadrži:</w:t>
      </w:r>
    </w:p>
    <w:p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Računa prihoda i rashoda i Računa financiranja,</w:t>
      </w:r>
    </w:p>
    <w:p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Račun prihoda i rashoda i </w:t>
      </w:r>
    </w:p>
    <w:p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SAŽETAK A. RAČUNA PRIHODA I RASHODA I B. RAČUNA FINANCIRANJA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A. Računa prihoda i rashoda i B. Računa financiranja daje prikaz ukupnih prihoda i primitaka te rashoda i izdataka na razini razreda ekonomske klasifikacije, kao i višak/manjak prihoda, gdje je u razdoblju od 1. siječnja do 30. lipnja 2024. ostvaren višak prihoda u iznosu od 287.134,23 EUR.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Sadrži i prikaz raspoloživih sredstva iz prethodnog razdoblja u iznosu od 408.524,57 EUR te konačni rezultat poslovanja za razdoblje od 1. siječnja do 30. lipnja 2024., odnosno višak prihoda u iznosu od 249.213,45 EUR.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RAČUN PRIHODA I RASHODA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prihoda i rashoda iskazuje se na sljedećim tablicama: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i rashodi prema ekonomskoj klasifikaciji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i rashodi prema izvorima financiranja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prema funkcijskoj klasifikaciji</w:t>
      </w:r>
    </w:p>
    <w:p>
      <w:pPr>
        <w:pStyle w:val="Odlomakpopis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2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Prihodi i rashodi prema ekonomskoj klasifikaciji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prihoda i rashoda prema ekonomskoj klasifikaciji daje prikaz ukupnih prihoda (prihoda poslovanja) i rashoda (rashoda poslovanja i rashoda za nabavu nefinancijske imovine).</w:t>
      </w:r>
    </w:p>
    <w:p>
      <w:pPr>
        <w:pStyle w:val="Odlomakpopisa"/>
        <w:numPr>
          <w:ilvl w:val="3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PRIHODI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Prihodi (skupina 6)  su ostvareni u iznosu od 823.081,59 EUR, što je 32,13% u odnosu na plan.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od poreza (61) ostvareni su u iznosu od 536.661,23 EUR, što je 51,13% u odnosu na plan, u prihodima sudjeluju sa 65,20%, a čine ih: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Porez i prirez na dohodak u iznosu od 394.303,80 EUR,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Porez na imovinu u iznosu od 135.670,91 EUR,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Porez na robu i usluge u iznosu od 6.686,52 EUR,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Pomoći iz inozemstva i od subjekata unutar općeg proračuna (63) su ostvareni u iznosu od 141.857,22 EUR, što je 13,56% u odnosu na plan, u prihodima sudjeluju sa 17,23%, a odnose se na tekuće pomoći Ministarstva financija na ime fiskalnog izravnanja.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Prohod od imovine (64) ostvareni su u iznosu od 28.154,52 EUR, što je 68,67% u odnosu na plan, u prihodima sudjeluju sa 3,42%, a odnose se na Prihode od nefinancijske imovine: naknada za koncesiju ostvareni u iznosu od 3.797,50 EUR, prihodi od zakupa i iznajmljivanja imovine ostvareni u iznosu od 23.642,94 EUR i ostalih prihoda od nefinancijske imovine ostvareni u iznosu od 714,08 EUR.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Prihodi od upravnih i administrativnih pristojbi, pristojbi po posebnim propisima i naknada (65) ostvareni su u iznosu od 108.560,62 EUR, što je 26,79% u odnosu na plan, u prihodima sudjeluju sa 13,19%, a čine ih: 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Upravne i administrativne pristojbe u iznosu od 2.386,63 EUR,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Komunalni doprinosi i naknade u iznosu od 106.173,99 EUR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od prodaje proizvoda i roba te pruženih usluga i prihodi od donacija (66) ostvareni su u iznosu od 7.651,82 EUR, što je 56,26% u odnosu na plan, u prihodima sudjeluju sa 0,93%, a odnosi se na donacije od pravnih i fizičkih osoba izvan općeg proračuna.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Kazne, upravne mjere i ostali prihodi (68) ostvareni su u iznosu od 196,18 EUR, što je 3,33% u odnosu na plan, u prihodima sudjeluju sa 0,02%, a čine ih ostali prihodi.</w:t>
      </w:r>
    </w:p>
    <w:p>
      <w:pPr>
        <w:pStyle w:val="Odlomakpopisa"/>
        <w:numPr>
          <w:ilvl w:val="3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RASHODI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(skupina 3 + skupina 4) su izvršeni u iznosu od 535.947,36 EUR, što je 18,52% u odnosu na plan. Odnose se na rashode poslovanja u iznosu od 373.361,15 EUR, koji u rashodima sudjeluju sa 69,66% i rashode za nabavu nefinancijske imovine u iznosu od 162.586,21 EUR, koji u rashodima sudjeluju sa 30,33%.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POSLOVANJA (3)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zaposlene (31) ostvareni su u iznosu od 66.047,29 EUR, što je 39,55% u odnosu na plan, u rashodima sudjeluju sa 12,32%. Odnose se na plaće za zaposlene u iznosu od 43.550,07 EUR, ostali rashodi za zaposlene u iznosu od 4.061,32 EUR, doprinosa na plaće u iznosu od 18.435,90 EUR.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Materijani rashodi (32) ostvareni su u iznosu od 145.195,34 EUR, što je 23,37% u odnosu na plan, u rashodima sudjeluju sa 27,09%. Odnose se na: naknade troškova zaposlenima u iznosu od 3.350,18 EUR, rashode za materijal i energiju u iznosu 22.780,69 EUR, vrijednosno najznačajniji su rashodi za usluge u iznosu od 103.552,26 EUR (najviše rashoda odlazi na tekuće i investicijsko održavanje u iznosu 66.972,18 EUR) te ostali nespomenuti rashodi poslovanja u iznosu 15.512,21 EUR.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Financijski rashodi (34) ostvareni su u iznosu od 7.706,85 EUR, što je 34,87% u odnosu na plan, u rashodima sudjeluju sa 1,44 %, a odnose se na usluge platnog prometa, zatezne kamate te ostale nespomenute financijske rashode.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Naknade građanima i kućanstvima na temelju osiguranja i druge naknade (37) ostvareni su u iznosu od 94.797,80 EUR, što je 34,59% u odnosu na plan, u rashodima sudjeluju sa 17,69%. Odnose se na novčane pomoći za novorođenu djecu i novosklopljene brakove.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Ostali rashodi (38) ostvareni su u iznosu od 59.613,87 EUR, što je 42,67% u odnosu na plan, u rashodima sudjeluju sa 11,12%, a odnose se na donacije za DVD Bilice i za Turističku zajednicu Općine Bilice, Crveni križ, refundaciju za Šibensko-kninsku županiju prema ugovoru o financiranju službenika Šibensko-kninske županije.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NABAVU NEFINANCIJSKE IMOVINE (4)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nabavu neproizvedene dugotrajne imovine (41)  ostvareni su u iznosu od 1.375,00 EUR, a odnosi se na dokumentaciju Procjene rizika od velikih nesreća.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nabavu proizvedene dugotrajne imovine (42) ostvareni su u iznosu od 161.211,21 EUR, što je 9,89% u odnosu na plan, u rashodima sudjeluju sa 30,08%. Odnose se na: rashode za građevinske objekte u iznosu 140.318,96 EUR, postrojenja i oprema u iznosu 20.892,25 EUR.</w:t>
      </w:r>
    </w:p>
    <w:p>
      <w:pPr>
        <w:pStyle w:val="Odlomakpopisa"/>
        <w:numPr>
          <w:ilvl w:val="2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Prihodi i rashodi prema izvorima financiranja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izvršenje rashoda planirani su izvori financiranja, koje čine prihodi iz kojih se podmiruju rashodi određene vrste i utvrđene namjene. Za svaki planirani prihod određeno je uz koji izvor financiranja se veže, a rashodi se mogu izvršavati do visine planiranih ili ostvarenih prihoda po izvorima.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(skupina 6) ostvareni su u ukupnom iznosu od 823.081,59 EUR, što je 32,13% u odnosu na plan, kako slijedi: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 prihodi i primici u iznosu od 565.011,93 EUR, što je 51,40% u odnosu na plan, čine ih prihodi od poreza, prihodi od nefinancijske imovine, prihodi od administrativnih (upravnih) pristojbi te opći prihodi i primici.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od posebne namjene u iznosu od 106.173,99 EUR, što je 27,65% u odnosu na plan, a čine ih prihodi od komunalne naknade i prihodi od komunalnog doprinosa.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Pomoći u iznosu od 141.857,22 EUR, što je 13,56% u odnosu na plan, a čine ih tekuće pomoći iz državnog proračuna i tekuće pomoći iz županijskog proračuna.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Donacije u iznosu od 10.038,45 EUR, što je 31,27% u odnosu na plan, a čine ih prihodi ostvareni od fizičkih osoba, prihodi od neprofitnih organizacija i prihodi od trgovačkih društava.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Rashodi (skupina 3 + skupina 4) izvršeni su u iznosu od 535.947,36 EUR, što je 18,52% u odnosu na plan, iz izvora kako slijedi: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 prihodi i primici u iznosu od 362.644,98 EUR, što je 35,44% u odnosu na plan,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za posebne namjene u iznosu od 42.242,78 EUR, što je 11,00% u odnosu na plan,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Pomoći u iznosu od 89.132,04 EUR, što je 8,52% u odnosu na plan,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Donacije u iznos od 9.468,32 EUR, što je 233,59% u odnosu na plan,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Namjenski izbori za program građenja u iznosu od 32.459,24 EUR, što je 7,95% u odnosu na plan.</w:t>
      </w:r>
    </w:p>
    <w:p>
      <w:pPr>
        <w:pStyle w:val="Odlomakpopis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2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prema funkcijskoj klasifikaciji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prema funkcijskoj klasifikaciji daju prikaz izvršenih rashoda prema njihovoj namjeni, odnosno funkciji.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Ukupni rashodi izvršeni su u iznosu od 535.947,36 EUR, što je 18,52 % u odnosu na plan i razvrstani su kroz devet funkcija. Iz izvršenja rashoda prema funkcijskoj klasifikaciji vidljivo je da su svi rashodi izvršeni u skladu s planom.</w:t>
      </w:r>
    </w:p>
    <w:p>
      <w:pPr>
        <w:pStyle w:val="Odlomakpopisa"/>
        <w:numPr>
          <w:ilvl w:val="1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RAČUN FINANCIRANJA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financiranja sadrži prikaz primitaka i izdataka i iskazuje se prema proračunskim klasifikacijama u izvještaju: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računa financiranja prema ekonomskoj klasifikaciji,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računa financiranja prema izvorima financiranja</w:t>
      </w:r>
    </w:p>
    <w:p>
      <w:pPr>
        <w:pStyle w:val="Odlomakpopis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2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računa financiranja prema ekonomskoj klasifikaciji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Račun financiranja prema ekonomskoj klasifikaciji odnosi se na Izdatke za financijsku imovinu i otplatu zajmova (5) ostvaren je u iznosu od 37.920,78 EUR, što je 49,96% u odnosu na plan. </w:t>
      </w:r>
    </w:p>
    <w:p>
      <w:pPr>
        <w:pStyle w:val="Odlomakpopisa"/>
        <w:numPr>
          <w:ilvl w:val="2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računa financiranja prema izvorima financiranja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Račun financiranja prema izvorima financiranja odnosi se na podmirenje zajma iz prihoda od poreza koji su ostvareni u iznosu 37.920,78 EUR što je 49,96% u odnosu na plan.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izvršenju posebnog dijela proračuna za razdoblje od 1. siječnja do 30. lipnja 2024. sadrži: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po organizacijskoj klasifikaciji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po programskoj klasifikaciji</w:t>
      </w:r>
    </w:p>
    <w:p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IZVRŠENJE PO ORGANIZACIJSKOJ KLASIFIKACIJI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po organizacijskoj klasifikaciji daje pregled izvršenja proračuna po razdjelu i glavama, ukupni rashodi u iznosu od 573.868,14 EUR izvršeni su kroz sljedeće razdjele:</w:t>
      </w:r>
    </w:p>
    <w:p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Razdjel 001- JEDINSTVENI UPRAVNI ODJEL – glava 00101 – Jedinstveni upravi odjel -  izvršeni su rashodi u iznosu 127.437,76 EUR što je 38,98% u odnosu na plan, a u ukupnim  rashodima sudjeluju sa 22,21%.</w:t>
      </w:r>
    </w:p>
    <w:p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Razdjel 002- URED NAČELNIKA – glava 00201 – Ured načelnika - izvršeni su rashodi u iznosu 3.347,36 EUR što je 35,61% u odnosu na plan, a u ukupnim  rashodima sudjeluju sa 0,58%.</w:t>
      </w:r>
    </w:p>
    <w:p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Razdjel 003 – OPĆINSKO VIJEĆA – glava 00301 – Općinsko vijeće - izvršeni su rashodi u iznosu 443.083,02 EUR što je 16,82% u odnosu na plan, a u ukupnim  rashodima sudjeluju sa 77,21%.</w:t>
      </w:r>
    </w:p>
    <w:p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IZVRŠENJE PO PROGRAMSKOJ KLASIFIKACIJI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RAZDJEL 001: JEDINSTVENI UPRAVNI ODJEL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UKUPNI RASHODI JEDINSTVENOG UPRAVNOG ODJELA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1827"/>
        <w:gridCol w:w="1686"/>
        <w:gridCol w:w="4724"/>
      </w:tblGrid>
      <w:tr>
        <w:tc>
          <w:tcPr>
            <w:tcW w:w="1227" w:type="dxa"/>
          </w:tcPr>
          <w:p>
            <w:pPr>
              <w:ind w:left="-142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</w:t>
            </w:r>
          </w:p>
        </w:tc>
        <w:tc>
          <w:tcPr>
            <w:tcW w:w="1827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86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724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 Izvorni plan 2024.</w:t>
            </w:r>
          </w:p>
        </w:tc>
      </w:tr>
      <w:tr>
        <w:tc>
          <w:tcPr>
            <w:tcW w:w="1227" w:type="dxa"/>
          </w:tcPr>
          <w:p>
            <w:pPr>
              <w:ind w:left="-142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001</w:t>
            </w:r>
          </w:p>
        </w:tc>
        <w:tc>
          <w:tcPr>
            <w:tcW w:w="1827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326.900,00</w:t>
            </w:r>
          </w:p>
        </w:tc>
        <w:tc>
          <w:tcPr>
            <w:tcW w:w="1686" w:type="dxa"/>
            <w:vAlign w:val="center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127.437,76</w:t>
            </w:r>
          </w:p>
        </w:tc>
        <w:tc>
          <w:tcPr>
            <w:tcW w:w="4724" w:type="dxa"/>
            <w:shd w:val="clear" w:color="auto" w:fill="auto"/>
            <w:vAlign w:val="center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38,98%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GLAVA 00101: JEDINSTVENI UPRAVNI ODJEL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836"/>
        <w:gridCol w:w="1694"/>
        <w:gridCol w:w="4700"/>
      </w:tblGrid>
      <w:tr>
        <w:tc>
          <w:tcPr>
            <w:tcW w:w="1234" w:type="dxa"/>
          </w:tcPr>
          <w:p>
            <w:pPr>
              <w:ind w:left="-142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</w:t>
            </w:r>
          </w:p>
        </w:tc>
        <w:tc>
          <w:tcPr>
            <w:tcW w:w="1836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700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4" w:type="dxa"/>
          </w:tcPr>
          <w:p>
            <w:pPr>
              <w:ind w:left="-142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00101</w:t>
            </w:r>
          </w:p>
        </w:tc>
        <w:tc>
          <w:tcPr>
            <w:tcW w:w="1836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326.900,00</w:t>
            </w:r>
          </w:p>
        </w:tc>
        <w:tc>
          <w:tcPr>
            <w:tcW w:w="1694" w:type="dxa"/>
            <w:vAlign w:val="center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127.437,76</w:t>
            </w:r>
          </w:p>
        </w:tc>
        <w:tc>
          <w:tcPr>
            <w:tcW w:w="4700" w:type="dxa"/>
            <w:vAlign w:val="center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38,98%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Popis programa: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1006: Izvršna uprava i administracija JUO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1007: Uredska oprema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1008: Unaprjeđenje sustava – informatizacija uprave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Program 1006: Izvršna uprava i administracija JUO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313.200,00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119.310,00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38,09%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Rashodi za zaposlene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179.100,00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69.397,47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38,75%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A100002: Rashodi za zaposlene odnose se na izvršenje plaća za zaposlenike, za službena putovanja te za naknade za prijevoz, za rad na terenu i odvojeni život.</w:t>
      </w:r>
    </w:p>
    <w:p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A100003: Rashodi za materijal i energiju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16.900,00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6.503,67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38,48%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A100003: Rashodi za materijal i energiju odnosi se na troškove električne energije za ured, materijale i dijelove tekućeg održavanja zgrade te rashodi za uredski materijal.</w:t>
      </w:r>
    </w:p>
    <w:p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A100004: Rashod za usluge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A100004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117.200,00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43.408,86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37,04%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A100004: Rashod za usluge odnosi se na usluge odvjetnika, geodetske usluge.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1007: Uredska oprema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1007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8.127,76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75,96%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se sastoji od sljedeće aktivnosti</w:t>
      </w:r>
    </w:p>
    <w:p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projekti K100001: Uredska oprema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8.127,76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75,96%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K100001: Uredska oprema odnosi se na novi projektor, printer, nadogradnju postojećeg kompjutera.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1008: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Unaprjeđenje sustava – informatizacija uprave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1008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projekti K100001: Ulaganje u računalne programe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RAZDJEL 002: URED NAČELNIKA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UKUPNI RASHODI URED NAČELNIKA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1827"/>
        <w:gridCol w:w="1686"/>
        <w:gridCol w:w="4724"/>
      </w:tblGrid>
      <w:tr>
        <w:tc>
          <w:tcPr>
            <w:tcW w:w="1227" w:type="dxa"/>
          </w:tcPr>
          <w:p>
            <w:pPr>
              <w:ind w:left="-142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</w:t>
            </w:r>
          </w:p>
        </w:tc>
        <w:tc>
          <w:tcPr>
            <w:tcW w:w="1827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86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724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 Izvorni plan 2024.</w:t>
            </w:r>
          </w:p>
        </w:tc>
      </w:tr>
      <w:tr>
        <w:tc>
          <w:tcPr>
            <w:tcW w:w="1227" w:type="dxa"/>
          </w:tcPr>
          <w:p>
            <w:pPr>
              <w:ind w:left="-142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1827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9.400,00</w:t>
            </w:r>
          </w:p>
        </w:tc>
        <w:tc>
          <w:tcPr>
            <w:tcW w:w="1686" w:type="dxa"/>
            <w:vAlign w:val="center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3.347,36</w:t>
            </w:r>
          </w:p>
        </w:tc>
        <w:tc>
          <w:tcPr>
            <w:tcW w:w="4724" w:type="dxa"/>
            <w:shd w:val="clear" w:color="auto" w:fill="auto"/>
            <w:vAlign w:val="center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35,61%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00201: URED NAČELNIKA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836"/>
        <w:gridCol w:w="1694"/>
        <w:gridCol w:w="4700"/>
      </w:tblGrid>
      <w:tr>
        <w:tc>
          <w:tcPr>
            <w:tcW w:w="1234" w:type="dxa"/>
          </w:tcPr>
          <w:p>
            <w:pPr>
              <w:ind w:left="-142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</w:t>
            </w:r>
          </w:p>
        </w:tc>
        <w:tc>
          <w:tcPr>
            <w:tcW w:w="1836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700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4" w:type="dxa"/>
          </w:tcPr>
          <w:p>
            <w:pPr>
              <w:ind w:left="-142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00201</w:t>
            </w:r>
          </w:p>
        </w:tc>
        <w:tc>
          <w:tcPr>
            <w:tcW w:w="1836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9.400,00</w:t>
            </w:r>
          </w:p>
        </w:tc>
        <w:tc>
          <w:tcPr>
            <w:tcW w:w="1694" w:type="dxa"/>
            <w:vAlign w:val="center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3.347,36</w:t>
            </w:r>
          </w:p>
        </w:tc>
        <w:tc>
          <w:tcPr>
            <w:tcW w:w="4700" w:type="dxa"/>
            <w:vAlign w:val="center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35,61%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Popis programa: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1004: Izvršna uprava – Ured načelnika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1005: Izdvajanje u tekuću pričuvu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1004: Izvršna uprava- Ured Načelnika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3.347,36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49,96%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Usluge promidžbe i informiranja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2.158,25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79,94%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Usluge promidžbe i informiranja odnosi se na usluge tiska i medija.</w:t>
      </w:r>
    </w:p>
    <w:p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Reprezentacija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1.189,11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29,73%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A100002: Reprezentacija odnosi se na usluge ugošćavanja.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1005: Izdvajanje u tekuću pričuvu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1005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Izdvajanje u tekuću pričuvu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RAZDJEL 003: OPĆINSKO VIJEĆE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UKUPNI RASHODI OPĆINSKOG VIJEĆA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1827"/>
        <w:gridCol w:w="1686"/>
        <w:gridCol w:w="4724"/>
      </w:tblGrid>
      <w:tr>
        <w:tc>
          <w:tcPr>
            <w:tcW w:w="1227" w:type="dxa"/>
          </w:tcPr>
          <w:p>
            <w:pPr>
              <w:ind w:left="-142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</w:t>
            </w:r>
          </w:p>
        </w:tc>
        <w:tc>
          <w:tcPr>
            <w:tcW w:w="1827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86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724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 Izvorni plan 2024.</w:t>
            </w:r>
          </w:p>
        </w:tc>
      </w:tr>
      <w:tr>
        <w:tc>
          <w:tcPr>
            <w:tcW w:w="1227" w:type="dxa"/>
          </w:tcPr>
          <w:p>
            <w:pPr>
              <w:ind w:left="-142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003</w:t>
            </w:r>
          </w:p>
        </w:tc>
        <w:tc>
          <w:tcPr>
            <w:tcW w:w="1827" w:type="dxa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2.633.703,40</w:t>
            </w:r>
          </w:p>
        </w:tc>
        <w:tc>
          <w:tcPr>
            <w:tcW w:w="1686" w:type="dxa"/>
            <w:vAlign w:val="center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443.083,02</w:t>
            </w:r>
          </w:p>
        </w:tc>
        <w:tc>
          <w:tcPr>
            <w:tcW w:w="4724" w:type="dxa"/>
            <w:shd w:val="clear" w:color="auto" w:fill="auto"/>
            <w:vAlign w:val="center"/>
          </w:tcPr>
          <w:p>
            <w:pPr>
              <w:ind w:left="-108" w:right="-12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16,82%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00301: OPĆINSKO VIJEĆE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836"/>
        <w:gridCol w:w="1694"/>
        <w:gridCol w:w="4700"/>
      </w:tblGrid>
      <w:tr>
        <w:tc>
          <w:tcPr>
            <w:tcW w:w="1234" w:type="dxa"/>
          </w:tcPr>
          <w:p>
            <w:pPr>
              <w:ind w:left="-142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</w:t>
            </w:r>
          </w:p>
        </w:tc>
        <w:tc>
          <w:tcPr>
            <w:tcW w:w="1836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700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4" w:type="dxa"/>
          </w:tcPr>
          <w:p>
            <w:pPr>
              <w:ind w:left="-142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00301</w:t>
            </w:r>
          </w:p>
        </w:tc>
        <w:tc>
          <w:tcPr>
            <w:tcW w:w="1836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2.633.703,40</w:t>
            </w:r>
          </w:p>
        </w:tc>
        <w:tc>
          <w:tcPr>
            <w:tcW w:w="1694" w:type="dxa"/>
            <w:vAlign w:val="center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443.083,02</w:t>
            </w:r>
          </w:p>
        </w:tc>
        <w:tc>
          <w:tcPr>
            <w:tcW w:w="4700" w:type="dxa"/>
            <w:vAlign w:val="center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16,82%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Popis programa: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Općinsko vijeće i radna tijela vijeća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Financiranje rada političkih stranaka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1006: Izvršna uprava i administracija JUO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1011: Financiranje službenika Šibensko-kninske županije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1012: ŠKŽ- Stipendiranje studenata medicine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Sufinanciranje kulturnih akcija i manifestacija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Ostale kulturne djelatnosti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Razvoj sporta i rekreacije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Financiranje rada JVP Šibenik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Financiranje rada DVD Bilice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Jednokratne novčane pomoći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Podmirenje troškova stanovanja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1006: Pomoć za rad ambulante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1007: Sredstva za nabavu školske opreme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1008: Tekuće donacije vjerskim organizacijama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1009: Financiranje rada Crvenog križa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Sufinanciranje programa predškolskog odgoja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Civilna zaštita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Tekuće održavanje javnih zelenih površina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1002: Održavanje nerazvrstanih cesta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Održavanje groblja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1004: Održavanje javne rasvjete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1009: Mali komunalni zahvati po zaseocima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1012: Održavanje javnih površina na kojima nije dopušten promet motornih vozila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Izgradnja javne rasvjete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1004: Asfaltiranje i rekonstrukcija ulica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1006: Izgradnja dječjih igrališta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1009: Izgradnja kapelice na Pomišlju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1011: Izgradnja šetnice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1016: Izgradnja infrastrukture i okoliša zgrade Općine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1017: Izgradnja grobnica i uređenje groblja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1018: Izgradnja i rekonstrukcija vodovodne mreže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1019: Izgradnja zgrade DVD-a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1020: Javni sat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Srednja škola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Stipendiranje studenata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Financiranje održavanja pomorskog dobra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1003: Izrada projektne dokumentacije 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Poticanje razvoja turizma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Općinsko vijeće i radna tijela vijeća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5.781,48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48,18%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Općinsko vijeće i radna tijela vijeća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5.781,48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48,18%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Općinsko vijeće i radna tijela vijeća odnosi se na naknade za rad u vijeću.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Financiranje rada političkih stranaka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Financiranje rada političkih stranaka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Financiranje rada političkih stranaka odnosi se na naknadu političkim strankama za vijećnike u predstavničkom tijelu.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1006: Izvršna uprava i administracija JUO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39.390,50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49,67%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A100004: Rashodi za usluge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A100004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39.390,50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49,67%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A100004: Rashodi za usluge odnosi se na rashode za kamate na dugoročni kredit i otplatu glavnice.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1011: Financiranje službenika Šibensko-kninske županije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1011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15.408,35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58,14%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Financiranje službenika Šibensko-kninske županije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15.408,35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58,14%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Financiranje službenika Šibensko-kninske županije se odnosi na financiranje službenika prema Ugovoru o financiranje službenika iz Ureda za prostorno uređenje i gradnju.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1012: ŠKŽ –Stipendiranje studenata medicine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3.400,00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1.700,00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50,00%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4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ŠKŽ –Stipendiranje studenata medicine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3.400,00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1.700,00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Stipendiranje studenata medicine se odnosi na zajedničko sufinanciranje s Upravnim odjelom za zdravstvo, socijalnu skrb, branitelje i civilne stradalnike Domovinskog rata.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Sufinanciranje kulturnih akcija i manifestacija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1.250,00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Organizacija proslave dana Općine Bilice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1.250,00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Organizacija proslave dana Općine Bilice odnose se na troškove vezane uz organizaciju dana, koji spada 14.08.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1002: Ostale kulturne djelatnosti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Pomoć kulturnim udrugama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Razvoj sporta i rekreacije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9.100,00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8.163,60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89,71%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Aktivnost A100001: Športska natjecanja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Športska natjecanja odnosi se na dodjelu sredstava na temelju Javnog poziva za subvencioniranje projekta razvoja i unapređenje športa za 2024.</w:t>
      </w:r>
    </w:p>
    <w:p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Aktivnost A100002: Pomoć športskim društvima i udrugama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A100002: Pomoć športskim društvima i udrugama odnosi se na dodjelu sredstava na temelju Javnog poziva za subvencioniranje projekta razvoja i unapređenje športa za 2024.</w:t>
      </w:r>
    </w:p>
    <w:p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A100003: Medicinska gimnastika za žene 50+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663,60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41,48%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A100003: Medicinska gimnastika za žene 50+ odnosi se na članarinu koja se plaća za žene iznad 50+.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1001: Financiranje rada JVP Šibenik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Financiranje rada JVP Šibenik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Financiranje rada DVD Bilice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Financiranje rada DVD Bilice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Jednokratne novčane pomoći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11.731,38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37,84%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Jednokratne novčane pomoći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11.731,38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37,84%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Jednokratne novčane pomoći odnose se na pomoći za novorođeno dijete, novosklopljeni brak i novčane pomoći za bolest.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Podmirenje troškova stanovanja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Podmirenje troškova stanovanja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Podmirenje troškova stanovanja odnosi se na troškove za osobe koje imaju zajamčenu minimalnu naknadu.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1006: Pomoć za rad ambulante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1.901,52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601,52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31,63%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2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Ambulanta - najamnina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601,52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601,52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Ambulanta odnosi se na plaćanje najma prostora ambulante.</w:t>
      </w:r>
    </w:p>
    <w:p>
      <w:pPr>
        <w:pStyle w:val="Odlomakpopisa"/>
        <w:numPr>
          <w:ilvl w:val="0"/>
          <w:numId w:val="2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Sufinanciranje djelatnosti hitne medicine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1007: Sredstva za nabavu školske opreme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1007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Sredstva za nabavu školske opreme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Sredstva za nabavu školske opreme odnosi se na financiranje radnih bilježnica za 1. razred Područne škole Jurja Dalmatinca Bilice.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1008: Tekuće donacije vjerskim organizacijama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1008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Tekuće donacije vjerskim organizacijama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Tekuće donacije vjerskim organizacijama odnosi se na isplatu pomoći Župi Marijina Uznesenja na Žirju.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1009: Financiranje rada Crvenog križa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1009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2.991,90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45,33%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Financiranje rada Crvenog križa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2.991,90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45,33%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Financiranje rada Crvenog križa odnosi se na obvezu plaćanja prema Zakonu o Hrvatskom crvenom križu.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Sufinanciranje programa predškolskog odgoja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73.959,17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36,98%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Sufinanciranje programa predškolskog odgoja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73.959,17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36,98%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Kroz aktivnost A100001: Sufinanciranje programa predškolskog odgoja odnosi se na sufinanciranje boravka djece u dječijim vrtićima. 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Civilna zaštita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2.115,20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52,88%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Financiranje sustava civilne zaštite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815,20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30,19%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Financiranje rada HGSS Šibenik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Tekuće održavanje javnih zelenih površina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21.817,29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A100003: Zbrinjavanje napuštenih životinja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A100003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A100004: Provođenje DDDK mjera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A100004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3.125,00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52,08%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A100005: Uklanjanje otpada sa javnih površina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A100005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11.516,88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57,58%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aktivnosti od A100005-A100011 brine komunalno poduzeće Bilice d.o.o.</w:t>
      </w: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A100006: Održavanje građevina javne odvodnje oborinskih voda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A100006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1.872,38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46,81%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A100007: Održavanje građevina, uređaja i predmeta javne namjene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A100007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2.490,30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37,73%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A100008: Održavanje čistoće javnih površina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A100008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38,50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0,29%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A100010: Održavanje dječijih igrališta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A100010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1.325,68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33,14%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A100011: Održavanje sportskih igrališta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A100011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1.448,55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36,21%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Održavanje nerazvrstanih cesta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122.800,00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7.242,29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5,90%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Tekući projekt T100001: Sanacija i održavanje nerazvrstanih prometnica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81,85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0,31%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Tekući projekt T100002: Održavanje vatrogasnih i poljskih putova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7.160,44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23,87%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T100002: Održavanje vatrogasnih i poljskih putova odnosi se na betoniranje i sanaciju oronulih putova.</w:t>
      </w:r>
    </w:p>
    <w:p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Tekući projekt T100003: Rekonstrukcija i asfaltiranje nerazvrstanih cesta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66.300,00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T100003: Rekonstrukcija i asfaltiranje nerazvrstanih cesta odnosi se na održavanju cesta prema ugovoru sa Ceste Šibenik d.o.o.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Održavanje groblja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1003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4.285,15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21,43%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3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Tekući projekt T100001: Tekuće održavanje groblja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4.285,15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21,43%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tekući projekt T100001: Tekuće održavanje groblja odnose se na troškove odvoza otpada sa groblja.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1004: Održavanje javne rasvjete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159.200,00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47.488,24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29,83%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3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Tekući projekt T100001: Utroška električne energije za javnu rasvjetu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92.900,00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16.277,02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17,52%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Tekući projekt T100002: Tekuće i investicijsko održavanje javne rasvjete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66.300,00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31.211,22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47,08%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tekući projekt T100002: Tekuće i investicijsko održavanje rasvjete odnosi se na troškove održavanja koje provodi Marzes d.o.o.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1009: Mali komunalni zahvati po zaseocima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1009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se sastoji od sljedeće aktivnosti</w:t>
      </w:r>
    </w:p>
    <w:p>
      <w:pPr>
        <w:pStyle w:val="Odlomakpopisa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Tekući projekt T100001: Mali komunalni zahvati po zaseocima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tekući projekt T100001: Mali komunalni zahvati po zaseocima odnosi se na rekonstrukciju manjih zahvata.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1012: Održavanje javnih površina na kojima nije dopušten promet motornih vozila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6.600,00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1.297,20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19,65%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3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Održavanje javnih plaža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Održavanje pješačkih staza i obalne šetnice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1.297,20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39,31%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Izgradnja javne rasvjete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72.450,13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65,57%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Stručni nadzor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K100003: Gradnja javne rasvjete Lugovići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23.304,38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87,94%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K100006: Ugradnja led rasvjetnih tijela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K100006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30.900,00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98,72%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Kapitalni projekt K100007: Gradnja javne rasvjete Ivčeva kuća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K100007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</w:t>
            </w:r>
            <w:r>
              <w:rPr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K100008: Gradnja javne rasvjete ulica do Pastoralnog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K100008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b/>
                <w:bCs/>
                <w:color w:val="000000"/>
                <w:sz w:val="20"/>
                <w:szCs w:val="20"/>
              </w:rPr>
              <w:t>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18.245,75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91,23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K100009: Javna rasvjeta kod Crkve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K100009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1004: Asfaltiranje i rekonstrukcija ulica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1004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99.700,00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Stručni nadzor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K100016: Asfaltiranje ulice kod Kudre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K100016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K100017: Asfaltiranje ulice Podlukovnik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K100017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55</w:t>
            </w:r>
            <w:r>
              <w:rPr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K100018: Asfaltiranje ulice Lugovići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K100018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</w:t>
            </w:r>
            <w:r>
              <w:rPr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1006: Izgradnja dječjih igrališta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109.900,00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Stručni nadzor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A100003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K100002:  Izgradnja dječjeg igrališta u Novom Naselju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54.200,00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K100003:  Izgradnja dječjeg igrališta u Carima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53.000,00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1009: Izgradnja kapalice na Pomišlju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1009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22.249,43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90,81%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K100003: Opremanje kapelice na Pomišljaju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K100003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12.764,49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85,10%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K100005: Izgradnja ostave na Pomišljaju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K100005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9.484,94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99,84%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1011: Izgradnja šetnice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1011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42.500,00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4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A100002: Stručni nadzor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A100002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4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K100001: Izgradnja šetnice Lučeva punta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39.800,00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1016: Izgradnja infrastrukture i okoliša zgrade Općine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1016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4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Stručni nadzor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4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K100001: Izgradnja infrastrukture i okoliša zgrade Općine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1017: Izgradnja grobnica i uređenje groblja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1017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</w:t>
            </w:r>
            <w:r>
              <w:rPr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4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K100001: Izgradnja grobnica i uređenje groblja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b/>
                <w:bCs/>
                <w:color w:val="000000"/>
                <w:sz w:val="20"/>
                <w:szCs w:val="20"/>
              </w:rPr>
              <w:t>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1018</w:t>
      </w:r>
      <w:r>
        <w:rPr>
          <w:rFonts w:ascii="Times New Roman" w:hAnsi="Times New Roman" w:cs="Times New Roman"/>
          <w:b/>
          <w:sz w:val="24"/>
          <w:szCs w:val="24"/>
        </w:rPr>
        <w:t>: Izgra</w:t>
      </w:r>
      <w:r>
        <w:rPr>
          <w:rFonts w:ascii="Times New Roman" w:hAnsi="Times New Roman" w:cs="Times New Roman"/>
          <w:b/>
          <w:sz w:val="24"/>
          <w:szCs w:val="24"/>
        </w:rPr>
        <w:t>dnja i rekonstrukcija vodovodne mreže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1018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42.324,96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28,22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4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K100001: Izgradnja i rekonstrukcija vodovodne mreže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42.324,96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28,22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1019: Izgradnja zgrade DVD-a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1019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1.020.001,88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358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93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0,04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4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Stručni nadzor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4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</w:t>
      </w:r>
      <w:r>
        <w:rPr>
          <w:rFonts w:ascii="Times New Roman" w:hAnsi="Times New Roman" w:cs="Times New Roman"/>
          <w:b/>
          <w:sz w:val="24"/>
          <w:szCs w:val="24"/>
        </w:rPr>
        <w:t xml:space="preserve">ni projekt K100001: </w:t>
      </w:r>
      <w:r>
        <w:rPr>
          <w:rFonts w:ascii="Times New Roman" w:hAnsi="Times New Roman" w:cs="Times New Roman"/>
          <w:b/>
          <w:sz w:val="24"/>
          <w:szCs w:val="24"/>
        </w:rPr>
        <w:t>Izgradnja zgrade DVD-a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1.000.001,88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358,93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0,04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1020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JAVNI SAT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15.700,00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62,80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sljedećih aktivnosti</w:t>
      </w:r>
    </w:p>
    <w:p>
      <w:pPr>
        <w:pStyle w:val="Odlomakpopisa"/>
        <w:numPr>
          <w:ilvl w:val="0"/>
          <w:numId w:val="5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Kapitalni projekt K100001: </w:t>
      </w:r>
      <w:r>
        <w:rPr>
          <w:rFonts w:ascii="Times New Roman" w:hAnsi="Times New Roman" w:cs="Times New Roman"/>
          <w:b/>
          <w:sz w:val="24"/>
          <w:szCs w:val="24"/>
        </w:rPr>
        <w:t>Javni sat na mulu A. Stepinca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</w:t>
            </w:r>
            <w:r>
              <w:rPr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15.700,00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62,80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1002: Srednja škola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9.107,25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45,54%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4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Sufinanciranje prijevoza učenika srednjih škola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9.107,25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45,54%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aktivnost A100001: Sufinanciranje prijevoza učenika srednjih škola odnosi se na odluku o sufinanciranju 25% iznosa mjesečne karte.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Stipendiranje studenata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1003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12.00</w:t>
            </w: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5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</w:t>
      </w:r>
      <w:r>
        <w:rPr>
          <w:rFonts w:ascii="Times New Roman" w:hAnsi="Times New Roman" w:cs="Times New Roman"/>
          <w:b/>
          <w:sz w:val="24"/>
          <w:szCs w:val="24"/>
        </w:rPr>
        <w:t>tivnost A100001: Stipendiranje studenata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  <w:r>
              <w:rPr>
                <w:b/>
                <w:bCs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1001: Financiranje održavanja pomorskog dobra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4.244,03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15,72%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4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Tekući projekt T100001: Tekuće održavanje pomorsko dobra (plaže)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4.244,03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15,72%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 tekući projekt T100001: Tekuće održavanje pomorskog dobra odnosi se na uređenje plaža i dohranu.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1003: Izrada projektne dokumentacije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rPr>
          <w:trHeight w:val="813"/>
        </w:trP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1.375,00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3,44%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4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Kapitalni projekt K100001: Izrada projektne dokumentacije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1.375,00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3,44%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Program 1001: Poticanje razvoja turizma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5"/>
        <w:gridCol w:w="1693"/>
        <w:gridCol w:w="4697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835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8.650,02</w:t>
            </w:r>
          </w:p>
        </w:tc>
        <w:tc>
          <w:tcPr>
            <w:tcW w:w="4697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23,19%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se sastoji od sljedeće aktivnosti</w:t>
      </w:r>
    </w:p>
    <w:p>
      <w:pPr>
        <w:pStyle w:val="Odlomakpopisa"/>
        <w:numPr>
          <w:ilvl w:val="0"/>
          <w:numId w:val="4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A100001: Turistička zajednica Općine Bilice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834"/>
        <w:gridCol w:w="1693"/>
        <w:gridCol w:w="4698"/>
      </w:tblGrid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Izvorni plan 2024.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30.6.2024.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</w:p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30.6.2024./Izvorni plan 2024.</w:t>
            </w:r>
          </w:p>
        </w:tc>
      </w:tr>
      <w:tr>
        <w:tc>
          <w:tcPr>
            <w:tcW w:w="1239" w:type="dxa"/>
          </w:tcPr>
          <w:p>
            <w:pPr>
              <w:ind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A100001</w:t>
            </w:r>
          </w:p>
        </w:tc>
        <w:tc>
          <w:tcPr>
            <w:tcW w:w="1834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37.300,00</w:t>
            </w:r>
          </w:p>
        </w:tc>
        <w:tc>
          <w:tcPr>
            <w:tcW w:w="1693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8.650,02</w:t>
            </w:r>
          </w:p>
        </w:tc>
        <w:tc>
          <w:tcPr>
            <w:tcW w:w="4698" w:type="dxa"/>
          </w:tcPr>
          <w:p>
            <w:pPr>
              <w:ind w:left="-108" w:right="-11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23,19%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3.POSEBNI IZVJEŠTAJI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Posebni izvještaji su: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zaduživanju na domaćem i stranom tržištu novca i kapitala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korištenju proračunske zalihe</w:t>
      </w:r>
    </w:p>
    <w:p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danim jamstvima i plaćanjima po protestnim jamstvima</w:t>
      </w:r>
    </w:p>
    <w:p>
      <w:pPr>
        <w:pStyle w:val="Odlomakpopis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IZVJEŠTAJ O ZADUŽIVANJU NA DOMAĆEM I STRANOM TRŽIŠTU NOVCA I KAPITALA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Bilice se zadužila u Erste banci na rok od 7 godina. U prvom polugodištu 2024. godine je otplaćena glavnica u iznosu 37.920,78 €, i kamata u iznosu 1.469,72 €.</w:t>
      </w:r>
    </w:p>
    <w:p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KORIŠTENJU PRORAČUNSKE ZALIHE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Odlukom o izvršenju Proračuna Općine Bilice za 2024. godinu općinski načelnik koristi sredstva proračunske zalihe za neplanirane ili nedovoljno planirane rashode. U izvještajnom razdoblju nisu korištena sredstva proračunske zalihe.</w:t>
      </w:r>
    </w:p>
    <w:p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1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DANIM JAMSTVIMA I PLAĆANJIMA PO PROTESTNIM JAMSTVIMA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Odlukom o izvršenju Proračuna Općine Bilice za 2024. godinu nisu predviđena davanja jamstva, te se ista nisu ni davala.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PREDSJENIK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Vlatko Petrović</w:t>
      </w: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F6D26"/>
    <w:multiLevelType w:val="hybridMultilevel"/>
    <w:tmpl w:val="DB2CD404"/>
    <w:lvl w:ilvl="0" w:tplc="42D0A16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9E345D"/>
    <w:multiLevelType w:val="hybridMultilevel"/>
    <w:tmpl w:val="55EA77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3E2F"/>
    <w:multiLevelType w:val="hybridMultilevel"/>
    <w:tmpl w:val="21B684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750AD"/>
    <w:multiLevelType w:val="hybridMultilevel"/>
    <w:tmpl w:val="C7A46C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B2FE7"/>
    <w:multiLevelType w:val="hybridMultilevel"/>
    <w:tmpl w:val="1A3CD4A0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8251F69"/>
    <w:multiLevelType w:val="hybridMultilevel"/>
    <w:tmpl w:val="08646230"/>
    <w:lvl w:ilvl="0" w:tplc="8AC08B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65ECD"/>
    <w:multiLevelType w:val="hybridMultilevel"/>
    <w:tmpl w:val="1FF2E67E"/>
    <w:lvl w:ilvl="0" w:tplc="BAE2F0C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B72871"/>
    <w:multiLevelType w:val="hybridMultilevel"/>
    <w:tmpl w:val="78362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3F066F"/>
    <w:multiLevelType w:val="hybridMultilevel"/>
    <w:tmpl w:val="7CC4D38A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21F5445"/>
    <w:multiLevelType w:val="hybridMultilevel"/>
    <w:tmpl w:val="B352C16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CA1E9C"/>
    <w:multiLevelType w:val="hybridMultilevel"/>
    <w:tmpl w:val="E1980B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2C38A7"/>
    <w:multiLevelType w:val="hybridMultilevel"/>
    <w:tmpl w:val="D5386F22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6992D63"/>
    <w:multiLevelType w:val="hybridMultilevel"/>
    <w:tmpl w:val="9970FE32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17653C4"/>
    <w:multiLevelType w:val="hybridMultilevel"/>
    <w:tmpl w:val="F1F4C7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192C05"/>
    <w:multiLevelType w:val="hybridMultilevel"/>
    <w:tmpl w:val="D85E259A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54866C1"/>
    <w:multiLevelType w:val="hybridMultilevel"/>
    <w:tmpl w:val="18A0F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A148A"/>
    <w:multiLevelType w:val="hybridMultilevel"/>
    <w:tmpl w:val="DF229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07125D"/>
    <w:multiLevelType w:val="hybridMultilevel"/>
    <w:tmpl w:val="DB0CD3C4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5618A"/>
    <w:multiLevelType w:val="multilevel"/>
    <w:tmpl w:val="29F27A8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9" w15:restartNumberingAfterBreak="0">
    <w:nsid w:val="2DF55121"/>
    <w:multiLevelType w:val="hybridMultilevel"/>
    <w:tmpl w:val="E604AA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A86BEF"/>
    <w:multiLevelType w:val="hybridMultilevel"/>
    <w:tmpl w:val="E92841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BB3D77"/>
    <w:multiLevelType w:val="hybridMultilevel"/>
    <w:tmpl w:val="26F62E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E21113"/>
    <w:multiLevelType w:val="multilevel"/>
    <w:tmpl w:val="8C4603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7520F36"/>
    <w:multiLevelType w:val="hybridMultilevel"/>
    <w:tmpl w:val="A21CA8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8F222D"/>
    <w:multiLevelType w:val="hybridMultilevel"/>
    <w:tmpl w:val="C700E0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C6073E"/>
    <w:multiLevelType w:val="hybridMultilevel"/>
    <w:tmpl w:val="B54493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B946A2"/>
    <w:multiLevelType w:val="hybridMultilevel"/>
    <w:tmpl w:val="FB989C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1C3132"/>
    <w:multiLevelType w:val="hybridMultilevel"/>
    <w:tmpl w:val="5BF8CA2C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2B37D77"/>
    <w:multiLevelType w:val="hybridMultilevel"/>
    <w:tmpl w:val="B686E398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3A72272"/>
    <w:multiLevelType w:val="hybridMultilevel"/>
    <w:tmpl w:val="682CE268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46AC7295"/>
    <w:multiLevelType w:val="hybridMultilevel"/>
    <w:tmpl w:val="4E0C9C56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46E90EED"/>
    <w:multiLevelType w:val="multilevel"/>
    <w:tmpl w:val="E720367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32" w15:restartNumberingAfterBreak="0">
    <w:nsid w:val="4C691792"/>
    <w:multiLevelType w:val="hybridMultilevel"/>
    <w:tmpl w:val="1D8C00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172861"/>
    <w:multiLevelType w:val="hybridMultilevel"/>
    <w:tmpl w:val="C0A2AEF0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4FD01471"/>
    <w:multiLevelType w:val="multilevel"/>
    <w:tmpl w:val="71E0F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5590019"/>
    <w:multiLevelType w:val="hybridMultilevel"/>
    <w:tmpl w:val="3D60D6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C0A01"/>
    <w:multiLevelType w:val="hybridMultilevel"/>
    <w:tmpl w:val="90C2C7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3424EE"/>
    <w:multiLevelType w:val="hybridMultilevel"/>
    <w:tmpl w:val="1D9EBA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335CF8"/>
    <w:multiLevelType w:val="hybridMultilevel"/>
    <w:tmpl w:val="918AC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AE4599"/>
    <w:multiLevelType w:val="hybridMultilevel"/>
    <w:tmpl w:val="403811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0B0005"/>
    <w:multiLevelType w:val="hybridMultilevel"/>
    <w:tmpl w:val="02608054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3894BA7"/>
    <w:multiLevelType w:val="hybridMultilevel"/>
    <w:tmpl w:val="E51CEB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432944"/>
    <w:multiLevelType w:val="hybridMultilevel"/>
    <w:tmpl w:val="176CD1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10599C"/>
    <w:multiLevelType w:val="hybridMultilevel"/>
    <w:tmpl w:val="B5E21104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7AC0C72"/>
    <w:multiLevelType w:val="hybridMultilevel"/>
    <w:tmpl w:val="FFC4AC72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6E186D8A"/>
    <w:multiLevelType w:val="hybridMultilevel"/>
    <w:tmpl w:val="81285E02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FAA2F00"/>
    <w:multiLevelType w:val="hybridMultilevel"/>
    <w:tmpl w:val="C75CB7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4D5C0C"/>
    <w:multiLevelType w:val="hybridMultilevel"/>
    <w:tmpl w:val="C6B83248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728B2120"/>
    <w:multiLevelType w:val="hybridMultilevel"/>
    <w:tmpl w:val="1D8E14B4"/>
    <w:lvl w:ilvl="0" w:tplc="1C740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9" w15:restartNumberingAfterBreak="0">
    <w:nsid w:val="7585394A"/>
    <w:multiLevelType w:val="hybridMultilevel"/>
    <w:tmpl w:val="A6DEFF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7F5CF2"/>
    <w:multiLevelType w:val="hybridMultilevel"/>
    <w:tmpl w:val="7AF6D6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4"/>
  </w:num>
  <w:num w:numId="4">
    <w:abstractNumId w:val="20"/>
  </w:num>
  <w:num w:numId="5">
    <w:abstractNumId w:val="6"/>
  </w:num>
  <w:num w:numId="6">
    <w:abstractNumId w:val="22"/>
  </w:num>
  <w:num w:numId="7">
    <w:abstractNumId w:val="7"/>
  </w:num>
  <w:num w:numId="8">
    <w:abstractNumId w:val="16"/>
  </w:num>
  <w:num w:numId="9">
    <w:abstractNumId w:val="42"/>
  </w:num>
  <w:num w:numId="10">
    <w:abstractNumId w:val="50"/>
  </w:num>
  <w:num w:numId="11">
    <w:abstractNumId w:val="2"/>
  </w:num>
  <w:num w:numId="12">
    <w:abstractNumId w:val="24"/>
  </w:num>
  <w:num w:numId="13">
    <w:abstractNumId w:val="35"/>
  </w:num>
  <w:num w:numId="14">
    <w:abstractNumId w:val="19"/>
  </w:num>
  <w:num w:numId="15">
    <w:abstractNumId w:val="49"/>
  </w:num>
  <w:num w:numId="16">
    <w:abstractNumId w:val="10"/>
  </w:num>
  <w:num w:numId="17">
    <w:abstractNumId w:val="37"/>
  </w:num>
  <w:num w:numId="18">
    <w:abstractNumId w:val="41"/>
  </w:num>
  <w:num w:numId="19">
    <w:abstractNumId w:val="32"/>
  </w:num>
  <w:num w:numId="20">
    <w:abstractNumId w:val="36"/>
  </w:num>
  <w:num w:numId="21">
    <w:abstractNumId w:val="15"/>
  </w:num>
  <w:num w:numId="22">
    <w:abstractNumId w:val="1"/>
  </w:num>
  <w:num w:numId="23">
    <w:abstractNumId w:val="46"/>
  </w:num>
  <w:num w:numId="24">
    <w:abstractNumId w:val="25"/>
  </w:num>
  <w:num w:numId="25">
    <w:abstractNumId w:val="23"/>
  </w:num>
  <w:num w:numId="26">
    <w:abstractNumId w:val="39"/>
  </w:num>
  <w:num w:numId="27">
    <w:abstractNumId w:val="21"/>
  </w:num>
  <w:num w:numId="28">
    <w:abstractNumId w:val="26"/>
  </w:num>
  <w:num w:numId="29">
    <w:abstractNumId w:val="3"/>
  </w:num>
  <w:num w:numId="30">
    <w:abstractNumId w:val="38"/>
  </w:num>
  <w:num w:numId="31">
    <w:abstractNumId w:val="17"/>
  </w:num>
  <w:num w:numId="32">
    <w:abstractNumId w:val="30"/>
  </w:num>
  <w:num w:numId="33">
    <w:abstractNumId w:val="8"/>
  </w:num>
  <w:num w:numId="34">
    <w:abstractNumId w:val="45"/>
  </w:num>
  <w:num w:numId="35">
    <w:abstractNumId w:val="44"/>
  </w:num>
  <w:num w:numId="36">
    <w:abstractNumId w:val="11"/>
  </w:num>
  <w:num w:numId="37">
    <w:abstractNumId w:val="0"/>
  </w:num>
  <w:num w:numId="38">
    <w:abstractNumId w:val="4"/>
  </w:num>
  <w:num w:numId="39">
    <w:abstractNumId w:val="48"/>
  </w:num>
  <w:num w:numId="40">
    <w:abstractNumId w:val="31"/>
  </w:num>
  <w:num w:numId="41">
    <w:abstractNumId w:val="40"/>
  </w:num>
  <w:num w:numId="42">
    <w:abstractNumId w:val="27"/>
  </w:num>
  <w:num w:numId="43">
    <w:abstractNumId w:val="29"/>
  </w:num>
  <w:num w:numId="44">
    <w:abstractNumId w:val="12"/>
  </w:num>
  <w:num w:numId="45">
    <w:abstractNumId w:val="18"/>
  </w:num>
  <w:num w:numId="46">
    <w:abstractNumId w:val="13"/>
  </w:num>
  <w:num w:numId="47">
    <w:abstractNumId w:val="28"/>
  </w:num>
  <w:num w:numId="48">
    <w:abstractNumId w:val="43"/>
  </w:num>
  <w:num w:numId="49">
    <w:abstractNumId w:val="14"/>
  </w:num>
  <w:num w:numId="50">
    <w:abstractNumId w:val="47"/>
  </w:num>
  <w:num w:numId="51">
    <w:abstractNumId w:val="3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7995B-52F0-448F-A820-577A4D2B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3">
    <w:name w:val="xl6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66">
    <w:name w:val="xl6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67">
    <w:name w:val="xl6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71">
    <w:name w:val="xl7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ZaglavljeChar">
    <w:name w:val="Zaglavlje Char"/>
    <w:basedOn w:val="Zadanifontodlomka"/>
    <w:link w:val="Zaglavlje"/>
    <w:uiPriority w:val="99"/>
    <w:rPr>
      <w:rFonts w:ascii="Calibri" w:eastAsia="Calibri" w:hAnsi="Calibri" w:cs="Calibri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PodnojeChar">
    <w:name w:val="Podnožje Char"/>
    <w:basedOn w:val="Zadanifontodlomka"/>
    <w:link w:val="Podnoje"/>
    <w:uiPriority w:val="99"/>
    <w:rPr>
      <w:rFonts w:ascii="Calibri" w:eastAsia="Calibri" w:hAnsi="Calibri" w:cs="Calibri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7">
    <w:name w:val="xl7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9">
    <w:name w:val="xl7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0">
    <w:name w:val="xl8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2">
    <w:name w:val="xl8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4">
    <w:name w:val="xl8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6">
    <w:name w:val="xl8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87">
    <w:name w:val="xl8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88">
    <w:name w:val="xl8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89">
    <w:name w:val="xl8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90">
    <w:name w:val="xl90"/>
    <w:basedOn w:val="Normal"/>
    <w:pPr>
      <w:pBdr>
        <w:top w:val="single" w:sz="4" w:space="0" w:color="auto"/>
        <w:lef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91">
    <w:name w:val="xl91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92">
    <w:name w:val="xl92"/>
    <w:basedOn w:val="Normal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3">
    <w:name w:val="xl93"/>
    <w:basedOn w:val="Normal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4">
    <w:name w:val="xl94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character" w:customStyle="1" w:styleId="BezproredaChar">
    <w:name w:val="Bez proreda Char"/>
    <w:aliases w:val="Zoran Char,Keki Char"/>
    <w:link w:val="Bezproreda"/>
    <w:uiPriority w:val="1"/>
    <w:locked/>
  </w:style>
  <w:style w:type="paragraph" w:styleId="Bezproreda">
    <w:name w:val="No Spacing"/>
    <w:aliases w:val="Zoran,Keki"/>
    <w:link w:val="BezproredaChar"/>
    <w:uiPriority w:val="1"/>
    <w:qFormat/>
    <w:pPr>
      <w:spacing w:after="0" w:line="240" w:lineRule="auto"/>
    </w:pPr>
  </w:style>
  <w:style w:type="character" w:styleId="Hiperveza">
    <w:name w:val="Hyperlink"/>
    <w:basedOn w:val="Zadanifontodlomka"/>
    <w:uiPriority w:val="99"/>
    <w:semiHidden/>
    <w:unhideWhenUsed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1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inet.hr/~ureddrza/Grb-rh%20mali.gif" TargetMode="External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image" Target="media/image1.gif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hyperlink" Target="http://www.inet.hr/~ureddrza/Grb-rh%20mali.gif" TargetMode="Externa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33307-1BC8-4684-B24B-E93ED1B2F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1995</TotalTime>
  <Pages>53</Pages>
  <Words>10232</Words>
  <Characters>58323</Characters>
  <Application>Microsoft Office Word</Application>
  <DocSecurity>0</DocSecurity>
  <Lines>486</Lines>
  <Paragraphs>136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29</cp:revision>
  <dcterms:created xsi:type="dcterms:W3CDTF">2023-09-21T07:45:00Z</dcterms:created>
  <dcterms:modified xsi:type="dcterms:W3CDTF">2024-09-18T10:41:00Z</dcterms:modified>
</cp:coreProperties>
</file>