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Na temelju članka 42. Zakona o proračunu („Narodne novine“, broj 144/21) i članka 28. Statuta Općine Bilice („Službeni vjesnik Šibensko-kninske županije, broj 10/09, 5/13, 8/13 i „Službeni glasnik Općine Bilice“, broj 3/18, 5/18, 1/21 i 6/21 – pročišćeni tekst) općinsko vijeće Općine Bilice na 12. sjednici od 15. prosinca 2022. godine, donosi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PRORAČUN OPĆINE BILICE ZA 2023.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PROJEKCIJE ZA 2024. I 2025. GODINU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OPĆI DIO</w:t>
      </w: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Proračun Općine Bilice za 2023. godinu (dalje u tekstu: Proračun) i projekcije za 2024. i 2025. godinu sastoji se od:</w:t>
      </w:r>
    </w:p>
    <w:p>
      <w:pPr>
        <w:pStyle w:val="Odlomakpopisa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Proračun za 2023.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 2024.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 2025.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7.769.271,70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9.880.950,00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11.375.588,10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12.403.293,90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12.404.800,80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UKUPNI PRIHODI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7.769.271,70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9.880.950,00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11.375.588,10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12.403.293,90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12.404.800,80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RASHODI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5.241.390,28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6.340.950,00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7.639.983,00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8.130.478,95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8.379.870,90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RASHODI ZA NABAVU NEFINANCIJSKE IMOVINE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2.066.854,26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6.040.000,00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4.211.785,50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3.701.699,85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3.453.814,80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UKUPNI RASHODI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7.308.244,54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12.380.950,00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11.851.768,50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11.832.178,80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11.833.685,70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RAZLIKA–VIŠAK/MANJAK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461.027,16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-2.500.000,00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-476.180,50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571.115,10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571.115,10</w:t>
            </w:r>
          </w:p>
        </w:tc>
      </w:tr>
    </w:tbl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SAŽETAK RAČUNA FINANCIRANJA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 2022.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Proračun za 2023.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 za 2024.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 za 2025.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PRIMICI OD FINANCIJSKE IMOVINE I ZADUŽIVANJA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4.000.000,00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IZDACI ZA FINANCIJSKU IMOVINU I OTPLATE ZAJMA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523.647,75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571.115,10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571.115,10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NETO ZADUŽENJE/FINANCIRANJE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4.000.000,00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-523.647,75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-571.115,10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-571.115,10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VIŠAK/MANJAK IZ PRETHODNIH GODINA 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-1.500.000,00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999.828,15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VIŠAK/MANJAK +NETO ZADUŽIVANJE / FINANCIRANJE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461.027,16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SAŽETAK RAČUNA PRIHODA I RASHODA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Proračun za 2023.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 2024.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 2025.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1.031.159,72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1.311.427,44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1.509.800,00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1.646.200,00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1.646.400,00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UKUPNI PRIHODI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1.031.159,72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1.311.427,44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1.509.800,00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1.646.200,00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1.646.400,00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RASHODI POSLOVANJA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695.652,33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841.588,66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1.014.000,00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1.079.100,00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1.112.200,00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RASHODI ZA NABAVU NEFINANCIJSKE IMOVINE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274.318,69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801.645,76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559.000,00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491.300,00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458.400,00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UKUPNI RASHODI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969.971,02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1.643.234,42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1.573.000,00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1.570.400,00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1.570.600,00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RAZLIKA–VIŠAK/MANJAK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61.188,70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-331.806,98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-63.200,00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75.800,00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75.800,00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SAŽETAK RAČUNA FINANCIRANJA</w:t>
      </w:r>
    </w:p>
    <w:tbl>
      <w:tblPr>
        <w:tblStyle w:val="Reetkatablice"/>
        <w:tblW w:w="13450" w:type="dxa"/>
        <w:jc w:val="center"/>
        <w:tblLook w:val="04A0" w:firstRow="1" w:lastRow="0" w:firstColumn="1" w:lastColumn="0" w:noHBand="0" w:noVBand="1"/>
      </w:tblPr>
      <w:tblGrid>
        <w:gridCol w:w="3244"/>
        <w:gridCol w:w="2127"/>
        <w:gridCol w:w="1842"/>
        <w:gridCol w:w="1615"/>
        <w:gridCol w:w="2354"/>
        <w:gridCol w:w="2268"/>
      </w:tblGrid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IZVRŠENJE</w:t>
            </w:r>
          </w:p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PLAN 2022.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Proračun za 2023.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 za 2024.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Projekcija proračuna za 2025.</w:t>
            </w:r>
          </w:p>
        </w:tc>
      </w:tr>
      <w:tr>
        <w:trPr>
          <w:jc w:val="center"/>
        </w:trPr>
        <w:tc>
          <w:tcPr>
            <w:tcW w:w="324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PRIMICI OD FINANCIJSKE IMOVINE I ZADUŽIVANJA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530.891,23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IZDACI ZA FINANCIJSKU IMOVINU I OTPLATE ZAJMA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69.500,00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75.800,00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75.800,00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NETO ZADUŽENJE/FINANCIRANJE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530.891,23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-69.500,00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-75.800,00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-75.800,00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VIŠAK/MANJAK IZ PRETHODNIH GODINA 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-199.084,21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132.700,00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>
        <w:trPr>
          <w:jc w:val="center"/>
        </w:trPr>
        <w:tc>
          <w:tcPr>
            <w:tcW w:w="3244" w:type="dxa"/>
          </w:tcPr>
          <w:p>
            <w:pPr>
              <w:pStyle w:val="Odlomakpopisa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VIŠAK/MANJAK +NETO ZADUŽIVANJE / FINANCIRANJE</w:t>
            </w:r>
          </w:p>
        </w:tc>
        <w:tc>
          <w:tcPr>
            <w:tcW w:w="2127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61.188,70</w:t>
            </w:r>
          </w:p>
        </w:tc>
        <w:tc>
          <w:tcPr>
            <w:tcW w:w="1842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615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354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68" w:type="dxa"/>
            <w:vAlign w:val="center"/>
          </w:tcPr>
          <w:p>
            <w:pPr>
              <w:pStyle w:val="Odlomakpopis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Članak 2.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Prihodi i rashodi te primici i izdaci po ekonomskoj klasifikaciji utvrđuju se u Računu prihoda i rashoda i Računu financiranja u Proračunu za 2023. godinu i projekcijama za 2024. i 2025. godinu, kako slijedi: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 PRIHODA I RASHODA I RAČUN FINANCIRANJA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9073515" cy="3124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343" cy="312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A2. RAČUN PRIHODA I RASHODA PREMA IZVORIMA FINANCIRANJA</w:t>
      </w: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8892066" cy="5400675"/>
            <wp:effectExtent l="0" t="0" r="444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3828" cy="540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8892540" cy="5208795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20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A3. RASHODI PREMA FUNKCIJSKOJ KLASIFIKACIJI</w:t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8891270" cy="5135880"/>
            <wp:effectExtent l="0" t="0" r="5080" b="762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596" cy="514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360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RAČUN FINANCIRANJA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>
            <wp:extent cx="9037320" cy="1586755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6527" cy="160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POSEBAN DIO</w:t>
      </w:r>
    </w:p>
    <w:p>
      <w:pPr>
        <w:pStyle w:val="Odlomakpopisa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3.</w:t>
      </w:r>
    </w:p>
    <w:p>
      <w:pPr>
        <w:pStyle w:val="Odlomakpopisa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Rashodi poslovanja i rashodi za nabavu nefinancijske imovine u Proračunu u ukupnoj svoti od 1.573.000,00 eura i izdaci za financijsku imovinu i otplate zajma od 69.500,00 eura raspoređuju se po korisnicima i programima u Posebnom dijelu Proračuna, kako slijedi: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9172233" cy="1988820"/>
            <wp:effectExtent l="0" t="0" r="0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0693" cy="199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174480" cy="5692001"/>
            <wp:effectExtent l="0" t="0" r="7620" b="4445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9600" cy="570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37980" cy="5859780"/>
            <wp:effectExtent l="0" t="0" r="1270" b="762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2975" cy="586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34805" cy="5654040"/>
            <wp:effectExtent l="0" t="0" r="4445" b="381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1900" cy="565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333865" cy="5661660"/>
            <wp:effectExtent l="0" t="0" r="635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7326" cy="566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363710" cy="5600700"/>
            <wp:effectExtent l="0" t="0" r="8890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918" cy="56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318549" cy="5631180"/>
            <wp:effectExtent l="0" t="0" r="0" b="762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0497" cy="56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307195" cy="5669280"/>
            <wp:effectExtent l="0" t="0" r="8255" b="762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2882" cy="567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97035" cy="551497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305" cy="551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88145" cy="5814060"/>
            <wp:effectExtent l="0" t="0" r="8255" b="0"/>
            <wp:docPr id="20" name="Slika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0894" cy="58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71746" cy="6019800"/>
            <wp:effectExtent l="0" t="0" r="5715" b="0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8934" cy="602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189398" cy="5730240"/>
            <wp:effectExtent l="0" t="0" r="0" b="3810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5659" cy="573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08770" cy="5684520"/>
            <wp:effectExtent l="0" t="0" r="0" b="0"/>
            <wp:docPr id="23" name="Slika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2665" cy="5693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33535" cy="5935980"/>
            <wp:effectExtent l="0" t="0" r="5715" b="7620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550" cy="593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20118" cy="5981700"/>
            <wp:effectExtent l="0" t="0" r="635" b="0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0671" cy="5988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72905" cy="5600700"/>
            <wp:effectExtent l="0" t="0" r="4445" b="0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0028" cy="560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13215" cy="5760720"/>
            <wp:effectExtent l="0" t="0" r="6985" b="0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5721" cy="576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lastRenderedPageBreak/>
        <w:drawing>
          <wp:inline distT="0" distB="0" distL="0" distR="0">
            <wp:extent cx="9208770" cy="4876800"/>
            <wp:effectExtent l="0" t="0" r="0" b="0"/>
            <wp:docPr id="28" name="Slika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1255" cy="488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III. ZAVRŠNE ODREDBE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4.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Proračun objavit će se u Službenom glasniku Općine Bilice, a stupa na snagu 1. siječnja 2023. godine.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400-08/22-01/1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2182-19-22-1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Bilice, 15. prosinca 2022.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</w:t>
      </w:r>
    </w:p>
    <w:p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OPĆINE BILICE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PREDSJEDNIK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Neven Mikulandra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2461E"/>
    <w:multiLevelType w:val="hybridMultilevel"/>
    <w:tmpl w:val="F886C984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74AA7"/>
    <w:multiLevelType w:val="hybridMultilevel"/>
    <w:tmpl w:val="3F2AA61E"/>
    <w:lvl w:ilvl="0" w:tplc="8A3CA21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A4795E"/>
    <w:multiLevelType w:val="hybridMultilevel"/>
    <w:tmpl w:val="59743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75282"/>
    <w:multiLevelType w:val="hybridMultilevel"/>
    <w:tmpl w:val="E6F8690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7CD86-6ED2-42EF-952D-9CD0105F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fontTable" Target="fontTable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26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13</cp:revision>
  <cp:lastPrinted>2022-12-13T08:56:00Z</cp:lastPrinted>
  <dcterms:created xsi:type="dcterms:W3CDTF">2022-12-06T06:39:00Z</dcterms:created>
  <dcterms:modified xsi:type="dcterms:W3CDTF">2022-12-22T07:14:00Z</dcterms:modified>
</cp:coreProperties>
</file>