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hyperlink r:id="rId7" w:tgtFrame="_top" w:history="1">
        <w:r>
          <w:rPr>
            <w:rFonts w:ascii="Times New Roman" w:eastAsia="Times New Roman" w:hAnsi="Times New Roman" w:cs="Times New Roman"/>
            <w:lang w:eastAsia="hr-HR"/>
          </w:rPr>
          <w:t xml:space="preserve">            </w:t>
        </w:r>
        <w:r>
          <w:rPr>
            <w:rFonts w:ascii="Times New Roman" w:eastAsia="Times New Roman" w:hAnsi="Times New Roman" w:cs="Times New Roman"/>
            <w:lang w:eastAsia="hr-HR"/>
          </w:rPr>
          <w:t xml:space="preserve">               </w:t>
        </w:r>
        <w:r>
          <w:rPr>
            <w:rFonts w:ascii="Times New Roman" w:eastAsia="Times New Roman" w:hAnsi="Times New Roman" w:cs="Times New Roman"/>
            <w:lang w:eastAsia="hr-HR"/>
          </w:rPr>
          <w:t xml:space="preserve">     </w:t>
        </w:r>
        <w:r>
          <w:rPr>
            <w:rFonts w:ascii="Times New Roman" w:eastAsia="Times New Roman" w:hAnsi="Times New Roman" w:cs="Times New Roman"/>
            <w:noProof/>
            <w:color w:val="0000CC"/>
            <w:lang w:eastAsia="hr-HR"/>
          </w:rPr>
          <w:drawing>
            <wp:inline distT="0" distB="0" distL="0" distR="0">
              <wp:extent cx="523875" cy="619125"/>
              <wp:effectExtent l="0" t="0" r="9525" b="9525"/>
              <wp:docPr id="88" name="Slika 88" descr="http://www.inet.hr/~ureddrza/Grb-rh%20mali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www.inet.hr/~ureddrza/Grb-rh%20mali.gif"/>
                      <pic:cNvPicPr>
                        <a:picLocks noChangeAspect="1" noChangeArrowheads="1"/>
                      </pic:cNvPicPr>
                    </pic:nvPicPr>
                    <pic:blipFill>
                      <a:blip r:embed="rId8" r:link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387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</w:t>
      </w:r>
      <w:r>
        <w:rPr>
          <w:rFonts w:ascii="Times New Roman" w:eastAsia="Times New Roman" w:hAnsi="Times New Roman" w:cs="Times New Roman"/>
          <w:b/>
          <w:lang w:eastAsia="hr-HR"/>
        </w:rPr>
        <w:t xml:space="preserve">        </w:t>
      </w:r>
      <w:r>
        <w:rPr>
          <w:rFonts w:ascii="Times New Roman" w:eastAsia="Times New Roman" w:hAnsi="Times New Roman" w:cs="Times New Roman"/>
          <w:b/>
          <w:lang w:eastAsia="hr-HR"/>
        </w:rPr>
        <w:t xml:space="preserve">  REPUBLIKA HRVATSKA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ŠIBENSKO-KNINSKA ŽUPANIJA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</w:t>
      </w:r>
      <w:r>
        <w:rPr>
          <w:rFonts w:ascii="Times New Roman" w:eastAsia="Times New Roman" w:hAnsi="Times New Roman" w:cs="Times New Roman"/>
          <w:b/>
          <w:lang w:eastAsia="hr-HR"/>
        </w:rPr>
        <w:t xml:space="preserve">              </w:t>
      </w:r>
      <w:r>
        <w:rPr>
          <w:rFonts w:ascii="Times New Roman" w:eastAsia="Times New Roman" w:hAnsi="Times New Roman" w:cs="Times New Roman"/>
          <w:b/>
          <w:lang w:eastAsia="hr-HR"/>
        </w:rPr>
        <w:t xml:space="preserve">   OPĆINA BILICE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   OPĆINSKO VIJEĆE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</w:t>
      </w: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hr-HR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KLASA: 400-08/23-01/2</w:t>
      </w: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URBROJ: 2182-19-23-3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Bilice, 18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prosinca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2023.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članka 42. Zakona o proračunu („Narodne novine“, broj 144/21) i članka 28. Statuta Općine Bilice („Službeni vjesnik Šibensko-kninske županije, broj 10/09, 5/13, 8/13 i „Službeni glasnik Općine Bilice“, broj 3/18, 5/18, 1/21 i 6/21 – pročišćeni tekst) općinsko vijeće Općine Bilice na 23. sjednici od 18. prosinca 2023. godine, donosi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PRORAČUN OPĆINE BILICE ZA 2024. GODINU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PROJEKCIJE ZA 2025. I 2026. GODINU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Odlomakpopisa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 DIO</w:t>
      </w:r>
    </w:p>
    <w:p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1.</w:t>
      </w:r>
    </w:p>
    <w:p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Proračun Općine Bilice za 2024. godinu (dalje u tekstu: Proračun) i projekcije za 2025. i 2026. godinu sastoji se od:</w:t>
      </w:r>
    </w:p>
    <w:p>
      <w:pPr>
        <w:pStyle w:val="Odlomakpopisa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SAŽETAK RAČUNA PRIHODA I RASHODA</w:t>
      </w:r>
    </w:p>
    <w:tbl>
      <w:tblPr>
        <w:tblStyle w:val="Reetkatablice"/>
        <w:tblW w:w="13450" w:type="dxa"/>
        <w:jc w:val="center"/>
        <w:tblLook w:val="04A0" w:firstRow="1" w:lastRow="0" w:firstColumn="1" w:lastColumn="0" w:noHBand="0" w:noVBand="1"/>
      </w:tblPr>
      <w:tblGrid>
        <w:gridCol w:w="3244"/>
        <w:gridCol w:w="2127"/>
        <w:gridCol w:w="1842"/>
        <w:gridCol w:w="1615"/>
        <w:gridCol w:w="2354"/>
        <w:gridCol w:w="2268"/>
      </w:tblGrid>
      <w:tr>
        <w:trPr>
          <w:jc w:val="center"/>
        </w:trPr>
        <w:tc>
          <w:tcPr>
            <w:tcW w:w="324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IZVRŠENJE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2022.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2023.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Proračun za 2024.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Projekcija proračuna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2025.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Projekcija proračuna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2026.</w:t>
            </w:r>
          </w:p>
        </w:tc>
      </w:tr>
      <w:tr>
        <w:trPr>
          <w:jc w:val="center"/>
        </w:trPr>
        <w:tc>
          <w:tcPr>
            <w:tcW w:w="324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PRIHODI POSLOVANJA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1.207.289,12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1.509.800,00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1.815.200,00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1.807.200,00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1.831.300,00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PRIHODI OD PRODAJE NEFINANCIJSKE IMOVINE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161,92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UKUPNI PRIHODI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1.207.451,04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1.509.800,00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1.815.200,00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1.807.200,00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1.831.300,00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RASHODI POSLOVANJA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931.844,21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1.014.000,00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1.171.500,00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1.140.700,00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1.124.800,00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RASHODI ZA NABAVU NEFINANCIJSKE IMOVINE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565.495,38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559.000,00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603.500,00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590.000,00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630.600,00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UKUPNI RASHODI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1.497.339,59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1.573.000,00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1.775.000,00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1.731.300,00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1.755.400,00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RAZLIKA–VIŠAK/MANJAK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-289.888,55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-63.200,00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40.200,00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75.900,00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75.900,00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SAŽETAK RAČUNA FINANCIRANJA</w:t>
      </w:r>
    </w:p>
    <w:tbl>
      <w:tblPr>
        <w:tblStyle w:val="Reetkatablice"/>
        <w:tblW w:w="13450" w:type="dxa"/>
        <w:jc w:val="center"/>
        <w:tblLook w:val="04A0" w:firstRow="1" w:lastRow="0" w:firstColumn="1" w:lastColumn="0" w:noHBand="0" w:noVBand="1"/>
      </w:tblPr>
      <w:tblGrid>
        <w:gridCol w:w="3377"/>
        <w:gridCol w:w="2105"/>
        <w:gridCol w:w="1823"/>
        <w:gridCol w:w="1600"/>
        <w:gridCol w:w="2314"/>
        <w:gridCol w:w="2231"/>
      </w:tblGrid>
      <w:tr>
        <w:trPr>
          <w:jc w:val="center"/>
        </w:trPr>
        <w:tc>
          <w:tcPr>
            <w:tcW w:w="324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IZVRŠENJE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2022.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 2023.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Proračun za 2024.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Projekcija proračuna za 2025.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Projekcija proračuna za 2026.</w:t>
            </w:r>
          </w:p>
        </w:tc>
      </w:tr>
      <w:tr>
        <w:trPr>
          <w:jc w:val="center"/>
        </w:trPr>
        <w:tc>
          <w:tcPr>
            <w:tcW w:w="324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PRIMICI OD FINANCIJSKE IMOVINE I ZADUŽIVANJA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530.891,23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IZDACI ZA FINANCIJSKU IMOVINU I OTPLATE ZAJMA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69.500,00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75.900,00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75.900,00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75.900,00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NETO ZADUŽENJE/FINANCIRANJE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530.891,23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-69.500,00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-75.900,00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-75.900,00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-75.900,00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VIŠAK/MANJAK IZ PRETHODNIH GODINA 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DIO VIŠKA/MANJKA IZ PRETHODNIH GODINA KOJI ĆE SE POKRITI /RASPOREDITI U PLANIRANOM RAZDOBLJU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132.700,00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35.700,00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VIŠAK/MANJAK +NETO ZADUŽIVANJE / FINANCIRANJE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241.002,68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2.</w:t>
      </w:r>
    </w:p>
    <w:p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Prihodi i rashodi te primici i izdaci po ekonomskoj klasifikaciji utvrđuju se u Računu prihoda i rashoda i Računu financiranja u Proračunu za 2024. godinu i projekcijama za 2025. i 2026. godinu, kako slijedi:</w:t>
      </w:r>
    </w:p>
    <w:p>
      <w:pPr>
        <w:ind w:left="360"/>
        <w:rPr>
          <w:rFonts w:ascii="Times New Roman" w:hAnsi="Times New Roman" w:cs="Times New Roman"/>
          <w:sz w:val="24"/>
          <w:szCs w:val="24"/>
        </w:rPr>
      </w:pPr>
    </w:p>
    <w:p>
      <w:pPr>
        <w:ind w:left="360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6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PRIHODA I RASHODA I RAČUN FINANCIRANJA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3687937"/>
            <wp:effectExtent l="0" t="0" r="3810" b="825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3687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A2. RAČUN PRIHODA I RASHODA PREMA IZVORIMA FINANCIRANJA</w:t>
      </w:r>
    </w:p>
    <w:p>
      <w:r>
        <w:rPr>
          <w:noProof/>
          <w:lang w:eastAsia="hr-HR"/>
        </w:rPr>
        <w:drawing>
          <wp:inline distT="0" distB="0" distL="0" distR="0">
            <wp:extent cx="8892540" cy="5178191"/>
            <wp:effectExtent l="0" t="0" r="3810" b="381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78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noProof/>
          <w:lang w:eastAsia="hr-HR"/>
        </w:rPr>
        <w:lastRenderedPageBreak/>
        <w:drawing>
          <wp:inline distT="0" distB="0" distL="0" distR="0">
            <wp:extent cx="8892540" cy="1337559"/>
            <wp:effectExtent l="0" t="0" r="381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337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A3. RASHODI PREMA FUNKCIJSKOJ KLASIFIKACIJI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2967076"/>
            <wp:effectExtent l="0" t="0" r="3810" b="508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967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2967076"/>
            <wp:effectExtent l="0" t="0" r="3810" b="508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967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6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FINANCIRANJA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1393004"/>
            <wp:effectExtent l="0" t="0" r="3810" b="0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393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B1. RAČUN FINANCIRANJA PREMA IZVORIMA FINANCIRANJA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1393004"/>
            <wp:effectExtent l="0" t="0" r="3810" b="0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393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POSEBAN DIO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3.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poslovanja i rashodi za nabavu nefinancijske imovine u Proračunu u ukupnoj svoti od 1.771.600,00 eura i izdaci za financijsku imovinu i otplate zajma od 79.300,00 eura raspoređuju se po korisnicima i programima u Posebnom dijelu Proračuna, kako slijedi: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2368679"/>
            <wp:effectExtent l="0" t="0" r="3810" b="0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368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27646"/>
            <wp:effectExtent l="0" t="0" r="3810" b="6985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27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27646"/>
            <wp:effectExtent l="0" t="0" r="3810" b="6985"/>
            <wp:docPr id="17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27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27646"/>
            <wp:effectExtent l="0" t="0" r="3810" b="6985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27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27646"/>
            <wp:effectExtent l="0" t="0" r="3810" b="698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27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27646"/>
            <wp:effectExtent l="0" t="0" r="3810" b="6985"/>
            <wp:docPr id="20" name="Slika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27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27646"/>
            <wp:effectExtent l="0" t="0" r="3810" b="6985"/>
            <wp:docPr id="21" name="Slik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27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27646"/>
            <wp:effectExtent l="0" t="0" r="3810" b="6985"/>
            <wp:docPr id="22" name="Slika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27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77100"/>
            <wp:effectExtent l="0" t="0" r="3810" b="9525"/>
            <wp:docPr id="23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7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77100"/>
            <wp:effectExtent l="0" t="0" r="3810" b="9525"/>
            <wp:docPr id="42" name="Slika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7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77100"/>
            <wp:effectExtent l="0" t="0" r="3810" b="9525"/>
            <wp:docPr id="43" name="Slika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7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77100"/>
            <wp:effectExtent l="0" t="0" r="3810" b="9525"/>
            <wp:docPr id="44" name="Slika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7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77100"/>
            <wp:effectExtent l="0" t="0" r="3810" b="9525"/>
            <wp:docPr id="45" name="Slika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7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77100"/>
            <wp:effectExtent l="0" t="0" r="3810" b="9525"/>
            <wp:docPr id="46" name="Slika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7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178191"/>
            <wp:effectExtent l="0" t="0" r="3810" b="381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78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178191"/>
            <wp:effectExtent l="0" t="0" r="3810" b="3810"/>
            <wp:docPr id="48" name="Slika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78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27646"/>
            <wp:effectExtent l="0" t="0" r="3810" b="6985"/>
            <wp:docPr id="49" name="Slika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27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1927847"/>
            <wp:effectExtent l="0" t="0" r="3810" b="0"/>
            <wp:docPr id="50" name="Slika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927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III. ZAVRŠNE ODREDBE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4.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Ovaj Proračun objavit će se u Službenom glasniku Općine Bilice, a stupa na snagu 1. siječnja 2024. godine.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PREDSJEDNIK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Vlatko Petrović</w:t>
      </w:r>
      <w:bookmarkStart w:id="0" w:name="_GoBack"/>
      <w:bookmarkEnd w:id="0"/>
    </w:p>
    <w:sectPr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180B"/>
    <w:multiLevelType w:val="hybridMultilevel"/>
    <w:tmpl w:val="86B43176"/>
    <w:lvl w:ilvl="0" w:tplc="987A07D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6954"/>
    <w:multiLevelType w:val="hybridMultilevel"/>
    <w:tmpl w:val="9150572C"/>
    <w:lvl w:ilvl="0" w:tplc="126AC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4795E"/>
    <w:multiLevelType w:val="hybridMultilevel"/>
    <w:tmpl w:val="59743692"/>
    <w:lvl w:ilvl="0" w:tplc="041A000F">
      <w:start w:val="1"/>
      <w:numFmt w:val="decimal"/>
      <w:lvlText w:val="%1."/>
      <w:lvlJc w:val="left"/>
      <w:pPr>
        <w:ind w:left="67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460" w:hanging="360"/>
      </w:pPr>
    </w:lvl>
    <w:lvl w:ilvl="2" w:tplc="041A001B" w:tentative="1">
      <w:start w:val="1"/>
      <w:numFmt w:val="lowerRoman"/>
      <w:lvlText w:val="%3."/>
      <w:lvlJc w:val="right"/>
      <w:pPr>
        <w:ind w:left="8180" w:hanging="180"/>
      </w:pPr>
    </w:lvl>
    <w:lvl w:ilvl="3" w:tplc="041A000F" w:tentative="1">
      <w:start w:val="1"/>
      <w:numFmt w:val="decimal"/>
      <w:lvlText w:val="%4."/>
      <w:lvlJc w:val="left"/>
      <w:pPr>
        <w:ind w:left="8900" w:hanging="360"/>
      </w:pPr>
    </w:lvl>
    <w:lvl w:ilvl="4" w:tplc="041A0019" w:tentative="1">
      <w:start w:val="1"/>
      <w:numFmt w:val="lowerLetter"/>
      <w:lvlText w:val="%5."/>
      <w:lvlJc w:val="left"/>
      <w:pPr>
        <w:ind w:left="9620" w:hanging="360"/>
      </w:pPr>
    </w:lvl>
    <w:lvl w:ilvl="5" w:tplc="041A001B" w:tentative="1">
      <w:start w:val="1"/>
      <w:numFmt w:val="lowerRoman"/>
      <w:lvlText w:val="%6."/>
      <w:lvlJc w:val="right"/>
      <w:pPr>
        <w:ind w:left="10340" w:hanging="180"/>
      </w:pPr>
    </w:lvl>
    <w:lvl w:ilvl="6" w:tplc="041A000F" w:tentative="1">
      <w:start w:val="1"/>
      <w:numFmt w:val="decimal"/>
      <w:lvlText w:val="%7."/>
      <w:lvlJc w:val="left"/>
      <w:pPr>
        <w:ind w:left="11060" w:hanging="360"/>
      </w:pPr>
    </w:lvl>
    <w:lvl w:ilvl="7" w:tplc="041A0019" w:tentative="1">
      <w:start w:val="1"/>
      <w:numFmt w:val="lowerLetter"/>
      <w:lvlText w:val="%8."/>
      <w:lvlJc w:val="left"/>
      <w:pPr>
        <w:ind w:left="11780" w:hanging="360"/>
      </w:pPr>
    </w:lvl>
    <w:lvl w:ilvl="8" w:tplc="041A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3" w15:restartNumberingAfterBreak="0">
    <w:nsid w:val="2CBA26E4"/>
    <w:multiLevelType w:val="hybridMultilevel"/>
    <w:tmpl w:val="E6F8690E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86283A"/>
    <w:multiLevelType w:val="hybridMultilevel"/>
    <w:tmpl w:val="901048EA"/>
    <w:lvl w:ilvl="0" w:tplc="A3FC76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75282"/>
    <w:multiLevelType w:val="hybridMultilevel"/>
    <w:tmpl w:val="E6F8690E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7863D9"/>
    <w:multiLevelType w:val="hybridMultilevel"/>
    <w:tmpl w:val="5808A7A0"/>
    <w:lvl w:ilvl="0" w:tplc="3EE8A6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D376DA"/>
    <w:multiLevelType w:val="hybridMultilevel"/>
    <w:tmpl w:val="3CA4B1F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2F7FB3-0062-405E-8F80-DB31E0BA3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image" Target="media/image18.emf"/><Relationship Id="rId3" Type="http://schemas.openxmlformats.org/officeDocument/2006/relationships/settings" Target="settings.xml"/><Relationship Id="rId21" Type="http://schemas.openxmlformats.org/officeDocument/2006/relationships/image" Target="media/image13.emf"/><Relationship Id="rId34" Type="http://schemas.openxmlformats.org/officeDocument/2006/relationships/image" Target="media/image26.emf"/><Relationship Id="rId7" Type="http://schemas.openxmlformats.org/officeDocument/2006/relationships/hyperlink" Target="http://www.inet.hr/~ureddrza/Grb-rh%20mali.gif" TargetMode="Externa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7.emf"/><Relationship Id="rId33" Type="http://schemas.openxmlformats.org/officeDocument/2006/relationships/image" Target="media/image25.emf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29" Type="http://schemas.openxmlformats.org/officeDocument/2006/relationships/image" Target="media/image21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6.emf"/><Relationship Id="rId32" Type="http://schemas.openxmlformats.org/officeDocument/2006/relationships/image" Target="media/image24.emf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23" Type="http://schemas.openxmlformats.org/officeDocument/2006/relationships/image" Target="media/image15.emf"/><Relationship Id="rId28" Type="http://schemas.openxmlformats.org/officeDocument/2006/relationships/image" Target="media/image20.emf"/><Relationship Id="rId36" Type="http://schemas.openxmlformats.org/officeDocument/2006/relationships/theme" Target="theme/theme1.xml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31" Type="http://schemas.openxmlformats.org/officeDocument/2006/relationships/image" Target="media/image23.emf"/><Relationship Id="rId4" Type="http://schemas.openxmlformats.org/officeDocument/2006/relationships/webSettings" Target="webSettings.xml"/><Relationship Id="rId9" Type="http://schemas.openxmlformats.org/officeDocument/2006/relationships/image" Target="http://www.inet.hr/~ureddrza/Grb-rh%20mali.gif" TargetMode="External"/><Relationship Id="rId14" Type="http://schemas.openxmlformats.org/officeDocument/2006/relationships/image" Target="media/image6.emf"/><Relationship Id="rId22" Type="http://schemas.openxmlformats.org/officeDocument/2006/relationships/image" Target="media/image14.emf"/><Relationship Id="rId27" Type="http://schemas.openxmlformats.org/officeDocument/2006/relationships/image" Target="media/image19.emf"/><Relationship Id="rId30" Type="http://schemas.openxmlformats.org/officeDocument/2006/relationships/image" Target="media/image22.emf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24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12</cp:revision>
  <dcterms:created xsi:type="dcterms:W3CDTF">2023-11-21T08:14:00Z</dcterms:created>
  <dcterms:modified xsi:type="dcterms:W3CDTF">2023-12-11T11:30:00Z</dcterms:modified>
</cp:coreProperties>
</file>