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right" w:tblpY="-46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4678"/>
        <w:gridCol w:w="2126"/>
      </w:tblGrid>
      <w:tr>
        <w:trPr>
          <w:trHeight w:val="719"/>
        </w:trPr>
        <w:tc>
          <w:tcPr>
            <w:tcW w:w="9747" w:type="dxa"/>
            <w:gridSpan w:val="3"/>
            <w:shd w:val="clear" w:color="auto" w:fill="E2EFD9" w:themeFill="accent6" w:themeFillTint="33"/>
            <w:vAlign w:val="center"/>
          </w:tcPr>
          <w:p>
            <w:pPr>
              <w:spacing w:before="160" w:after="200" w:line="240" w:lineRule="auto"/>
              <w:jc w:val="center"/>
              <w:rPr>
                <w:rFonts w:eastAsia="Simsun (Founder Extended)" w:cs="Arial"/>
                <w:lang w:eastAsia="zh-CN"/>
              </w:rPr>
            </w:pPr>
            <w:r>
              <w:rPr>
                <w:rFonts w:ascii="Segoe UI" w:eastAsia="Simsun (Founder Extended)" w:hAnsi="Segoe UI" w:cs="Segoe UI"/>
                <w:b/>
                <w:lang w:eastAsia="zh-CN"/>
              </w:rPr>
              <w:t>OBRAZAC  SUDJELOVANJA U SAVJETOVANJU O NACRTU ZAKONA, DRUGOG PROPISA ILI AKTA</w:t>
            </w:r>
          </w:p>
        </w:tc>
      </w:tr>
      <w:t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Naziv nacrta zakona, drugog propisa ili akta</w:t>
            </w:r>
          </w:p>
        </w:tc>
        <w:tc>
          <w:tcPr>
            <w:tcW w:w="6804" w:type="dxa"/>
            <w:gridSpan w:val="2"/>
            <w:vAlign w:val="center"/>
          </w:tcPr>
          <w:p>
            <w:pPr>
              <w:keepNext/>
              <w:spacing w:after="0" w:line="240" w:lineRule="auto"/>
              <w:jc w:val="center"/>
              <w:outlineLvl w:val="1"/>
              <w:rPr>
                <w:rFonts w:eastAsia="Simsun (Founder Extended)" w:cs="Segoe UI"/>
                <w:b/>
                <w:bCs/>
                <w:lang w:val="en-AU" w:eastAsia="zh-CN"/>
              </w:rPr>
            </w:pPr>
            <w:r>
              <w:rPr>
                <w:rFonts w:eastAsia="Simsun (Founder Extended)" w:cs="Segoe UI"/>
                <w:b/>
                <w:bCs/>
                <w:lang w:val="en-AU" w:eastAsia="zh-CN"/>
              </w:rPr>
              <w:t>Prijedlog Pravilnika jednostavne nabave</w:t>
            </w:r>
          </w:p>
        </w:tc>
      </w:tr>
      <w:t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Naziv tijela nadležnog za izradu nacrta</w:t>
            </w:r>
          </w:p>
        </w:tc>
        <w:tc>
          <w:tcPr>
            <w:tcW w:w="6804" w:type="dxa"/>
            <w:gridSpan w:val="2"/>
            <w:vAlign w:val="center"/>
          </w:tcPr>
          <w:p>
            <w:pPr>
              <w:spacing w:before="120" w:after="120" w:line="240" w:lineRule="auto"/>
              <w:jc w:val="center"/>
              <w:rPr>
                <w:rFonts w:eastAsia="Simsun (Founder Extended)" w:cs="Segoe UI"/>
                <w:b/>
                <w:lang w:eastAsia="zh-CN"/>
              </w:rPr>
            </w:pPr>
            <w:r>
              <w:rPr>
                <w:rFonts w:eastAsia="Simsun (Founder Extended)" w:cs="Segoe UI"/>
                <w:b/>
                <w:lang w:eastAsia="zh-CN"/>
              </w:rPr>
              <w:t>OPĆINA BILICE, Jedinstveni upravni odjel</w:t>
            </w:r>
          </w:p>
        </w:tc>
      </w:tr>
      <w:t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 xml:space="preserve">Razdoblje savjetovanja </w:t>
            </w:r>
            <w:r>
              <w:rPr>
                <w:rFonts w:ascii="Segoe UI" w:eastAsia="Simsun (Founder Extended)" w:hAnsi="Segoe UI" w:cs="Segoe UI"/>
                <w:i/>
                <w:sz w:val="20"/>
                <w:szCs w:val="20"/>
                <w:lang w:eastAsia="zh-CN"/>
              </w:rPr>
              <w:t>(početak i završetak)</w:t>
            </w:r>
          </w:p>
        </w:tc>
        <w:tc>
          <w:tcPr>
            <w:tcW w:w="6804" w:type="dxa"/>
            <w:gridSpan w:val="2"/>
            <w:vAlign w:val="center"/>
          </w:tcPr>
          <w:p>
            <w:pPr>
              <w:spacing w:before="120" w:after="120" w:line="240" w:lineRule="auto"/>
              <w:jc w:val="center"/>
              <w:rPr>
                <w:rFonts w:eastAsia="Simsun (Founder Extended)" w:cs="Segoe UI"/>
                <w:b/>
                <w:lang w:eastAsia="zh-CN"/>
              </w:rPr>
            </w:pPr>
            <w:r>
              <w:rPr>
                <w:rFonts w:eastAsia="Simsun (Founder Extended)" w:cs="Segoe UI"/>
                <w:b/>
                <w:lang w:eastAsia="zh-CN"/>
              </w:rPr>
              <w:t>13. srpnja 2026. – 13. kolovoza 2026.</w:t>
            </w:r>
          </w:p>
        </w:tc>
      </w:tr>
      <w:t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Obrazloženje razloga i ciljeva koji se žele postići donošenjem akta odnosno drugog dokumenta</w:t>
            </w:r>
          </w:p>
        </w:tc>
        <w:tc>
          <w:tcPr>
            <w:tcW w:w="6804" w:type="dxa"/>
            <w:gridSpan w:val="2"/>
            <w:vAlign w:val="center"/>
          </w:tcPr>
          <w:p>
            <w:pPr>
              <w:spacing w:after="0"/>
              <w:ind w:right="200"/>
              <w:jc w:val="both"/>
              <w:rPr>
                <w:rFonts w:ascii="Calibri Light" w:hAnsi="Calibri Light" w:cs="Calibri Light"/>
                <w:sz w:val="24"/>
                <w:szCs w:val="24"/>
              </w:rPr>
            </w:pPr>
            <w:r>
              <w:rPr>
                <w:rFonts w:ascii="Calibri Light" w:hAnsi="Calibri Light" w:cs="Calibri Light"/>
                <w:sz w:val="24"/>
                <w:szCs w:val="24"/>
              </w:rPr>
              <w:t>Ovim Pravilnikom uređuju se postupci, pravila i uvjeti za nabavu robe i usluge, te provedbu projektnih na</w:t>
            </w:r>
            <w:r>
              <w:rPr>
                <w:rFonts w:ascii="Calibri Light" w:hAnsi="Calibri Light" w:cs="Calibri Light"/>
                <w:sz w:val="24"/>
                <w:szCs w:val="24"/>
              </w:rPr>
              <w:t>tječaja naručitelja Općine Bilice</w:t>
            </w:r>
            <w:r>
              <w:rPr>
                <w:rFonts w:ascii="Calibri Light" w:hAnsi="Calibri Light" w:cs="Calibri Light"/>
                <w:sz w:val="24"/>
                <w:szCs w:val="24"/>
              </w:rPr>
              <w:t xml:space="preserve"> čija je procijenjena vrijednost bez poreza na dodanu vrijednost (PDV) manja od 50.000,00 EUR, te nabavu radova čija je procijenjena vrijednost bez poreza na dodanu vrijednost (PDV) manja od 100.000,00 EUR. </w:t>
            </w:r>
          </w:p>
          <w:p>
            <w:pPr>
              <w:spacing w:after="0" w:line="240" w:lineRule="auto"/>
              <w:jc w:val="both"/>
              <w:rPr>
                <w:rFonts w:ascii="Calibri Light" w:hAnsi="Calibri Light" w:cs="Calibri Light"/>
                <w:sz w:val="24"/>
                <w:szCs w:val="24"/>
              </w:rPr>
            </w:pPr>
            <w:r>
              <w:rPr>
                <w:rFonts w:ascii="Calibri Light" w:hAnsi="Calibri Light" w:cs="Calibri Light"/>
                <w:sz w:val="24"/>
                <w:szCs w:val="24"/>
              </w:rPr>
              <w:t>Donosi se novi Pravilnik budući da su 30. travnja 2026. godine stupile na snagu Izmjene i dopune Zakona o javnoj nabavi te su Zakonom izmijenjene sve odredbe koje se odnose na postupak jednostavne nabave. Slijedom navedenog, donosi se novi Pravilnik i to sa većim pragovima za nabavu robe, usluga i radova, postupak iznad 15.000,00 EUR mora se provoditi putem modula jednostavne nabave u EOJN, na odluku o odabiru ili poništenju predviđena je pravna zaštita u obliku prigovora općinskom načelniku.</w:t>
            </w:r>
            <w:r>
              <w:rPr>
                <w:rFonts w:ascii="Calibri Light" w:hAnsi="Calibri Light" w:cs="Calibri Light"/>
                <w:sz w:val="24"/>
                <w:szCs w:val="24"/>
              </w:rPr>
              <w:t xml:space="preserve"> Po provedbi javnog savjetovanja Odluku donosi predstavničko tijelo.</w:t>
            </w:r>
          </w:p>
          <w:p>
            <w:pPr>
              <w:spacing w:after="0" w:line="240" w:lineRule="auto"/>
              <w:jc w:val="both"/>
              <w:rPr>
                <w:rFonts w:asciiTheme="majorHAnsi" w:hAnsiTheme="majorHAnsi" w:cstheme="majorHAnsi"/>
              </w:rPr>
            </w:pPr>
          </w:p>
        </w:tc>
      </w:tr>
      <w:t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Ime/naziv sudionika/ce savjetovanja (pojedinac, udruga, ustanova i sl.) koji/a daje svoje mišljenje i primjedbe na nacrt zakona, drugog propisa ili akta</w:t>
            </w:r>
          </w:p>
        </w:tc>
        <w:tc>
          <w:tcPr>
            <w:tcW w:w="6804" w:type="dxa"/>
            <w:gridSpan w:val="2"/>
          </w:tcPr>
          <w:p>
            <w:pPr>
              <w:spacing w:before="120" w:after="120" w:line="240" w:lineRule="auto"/>
              <w:rPr>
                <w:rFonts w:asciiTheme="majorHAnsi" w:eastAsia="Simsun (Founder Extended)" w:hAnsiTheme="majorHAnsi" w:cstheme="majorHAnsi"/>
                <w:sz w:val="20"/>
                <w:szCs w:val="20"/>
                <w:lang w:eastAsia="zh-CN"/>
              </w:rPr>
            </w:pPr>
          </w:p>
        </w:tc>
      </w:tr>
      <w:tr>
        <w:trPr>
          <w:trHeight w:val="955"/>
        </w:trP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Tematsko područje i brojnost korisnika koje predstavljate, odnosno interes koji zastupate</w:t>
            </w:r>
          </w:p>
        </w:tc>
        <w:tc>
          <w:tcPr>
            <w:tcW w:w="6804" w:type="dxa"/>
            <w:gridSpan w:val="2"/>
            <w:shd w:val="clear" w:color="auto" w:fill="auto"/>
          </w:tcPr>
          <w:p>
            <w:pPr>
              <w:spacing w:before="120" w:after="120" w:line="240" w:lineRule="auto"/>
              <w:rPr>
                <w:rFonts w:ascii="Segoe UI" w:eastAsia="Simsun (Founder Extended)" w:hAnsi="Segoe UI" w:cs="Segoe UI"/>
                <w:sz w:val="20"/>
                <w:szCs w:val="20"/>
                <w:lang w:eastAsia="zh-CN"/>
              </w:rPr>
            </w:pPr>
          </w:p>
        </w:tc>
      </w:tr>
      <w:tr>
        <w:trPr>
          <w:trHeight w:val="689"/>
        </w:trPr>
        <w:tc>
          <w:tcPr>
            <w:tcW w:w="2943" w:type="dxa"/>
            <w:shd w:val="clear" w:color="auto" w:fill="F2F2F2" w:themeFill="background1" w:themeFillShade="F2"/>
            <w:vAlign w:val="center"/>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Načelni komentari na predloženi nacrt</w:t>
            </w:r>
          </w:p>
        </w:tc>
        <w:tc>
          <w:tcPr>
            <w:tcW w:w="6804" w:type="dxa"/>
            <w:gridSpan w:val="2"/>
          </w:tcPr>
          <w:p>
            <w:pPr>
              <w:spacing w:before="120" w:after="120" w:line="240" w:lineRule="auto"/>
              <w:rPr>
                <w:rFonts w:ascii="Segoe UI" w:eastAsia="Simsun (Founder Extended)" w:hAnsi="Segoe UI" w:cs="Segoe UI"/>
                <w:sz w:val="20"/>
                <w:szCs w:val="20"/>
                <w:lang w:eastAsia="zh-CN"/>
              </w:rPr>
            </w:pPr>
          </w:p>
        </w:tc>
      </w:tr>
      <w:tr>
        <w:trPr>
          <w:trHeight w:val="900"/>
        </w:trP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Primjedbe, komentari i prijedlozi na pojedine članke nacrta zakona, drugog propisa ili dijelove akta</w:t>
            </w:r>
          </w:p>
        </w:tc>
        <w:tc>
          <w:tcPr>
            <w:tcW w:w="6804" w:type="dxa"/>
            <w:gridSpan w:val="2"/>
          </w:tcPr>
          <w:p>
            <w:pPr>
              <w:spacing w:before="120" w:after="120" w:line="240" w:lineRule="auto"/>
              <w:rPr>
                <w:rFonts w:ascii="Segoe UI" w:eastAsia="Simsun (Founder Extended)" w:hAnsi="Segoe UI" w:cs="Segoe UI"/>
                <w:sz w:val="20"/>
                <w:szCs w:val="20"/>
                <w:lang w:eastAsia="zh-CN"/>
              </w:rPr>
            </w:pPr>
          </w:p>
        </w:tc>
      </w:tr>
      <w:tr>
        <w:trPr>
          <w:trHeight w:val="1115"/>
        </w:trP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 xml:space="preserve">Ime i prezime osobe/a koja je sastavljala primjedbe i komentare ili osobe ovlaštene </w:t>
            </w:r>
            <w:r>
              <w:rPr>
                <w:rFonts w:ascii="Segoe UI" w:eastAsia="Simsun (Founder Extended)" w:hAnsi="Segoe UI" w:cs="Segoe UI"/>
                <w:sz w:val="20"/>
                <w:szCs w:val="20"/>
                <w:lang w:eastAsia="zh-CN"/>
              </w:rPr>
              <w:lastRenderedPageBreak/>
              <w:t>za zastupanje udruge, ustanove i sl.</w:t>
            </w:r>
          </w:p>
        </w:tc>
        <w:tc>
          <w:tcPr>
            <w:tcW w:w="6804" w:type="dxa"/>
            <w:gridSpan w:val="2"/>
          </w:tcPr>
          <w:p>
            <w:pPr>
              <w:spacing w:before="120" w:after="120" w:line="240" w:lineRule="auto"/>
              <w:rPr>
                <w:rFonts w:ascii="Segoe UI" w:eastAsia="Simsun (Founder Extended)" w:hAnsi="Segoe UI" w:cs="Segoe UI"/>
                <w:sz w:val="20"/>
                <w:szCs w:val="20"/>
                <w:lang w:eastAsia="zh-CN"/>
              </w:rPr>
            </w:pPr>
          </w:p>
        </w:tc>
      </w:tr>
      <w:tr>
        <w:trPr>
          <w:trHeight w:val="480"/>
        </w:trP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Telefon/Mobitel</w:t>
            </w:r>
          </w:p>
        </w:tc>
        <w:tc>
          <w:tcPr>
            <w:tcW w:w="6804" w:type="dxa"/>
            <w:gridSpan w:val="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 xml:space="preserve"> </w:t>
            </w:r>
          </w:p>
        </w:tc>
      </w:tr>
      <w:tr>
        <w:trPr>
          <w:trHeight w:val="480"/>
        </w:trP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Email</w:t>
            </w:r>
          </w:p>
        </w:tc>
        <w:tc>
          <w:tcPr>
            <w:tcW w:w="6804" w:type="dxa"/>
            <w:gridSpan w:val="2"/>
          </w:tcPr>
          <w:p>
            <w:pPr>
              <w:spacing w:before="120" w:after="120" w:line="240" w:lineRule="auto"/>
              <w:rPr>
                <w:rFonts w:ascii="Segoe UI" w:eastAsia="Simsun (Founder Extended)" w:hAnsi="Segoe UI" w:cs="Segoe UI"/>
                <w:sz w:val="20"/>
                <w:szCs w:val="20"/>
                <w:lang w:eastAsia="zh-CN"/>
              </w:rPr>
            </w:pPr>
          </w:p>
        </w:tc>
      </w:tr>
      <w:tr>
        <w:tc>
          <w:tcPr>
            <w:tcW w:w="2943" w:type="dxa"/>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Datum dostavljanja obrasca</w:t>
            </w:r>
          </w:p>
        </w:tc>
        <w:tc>
          <w:tcPr>
            <w:tcW w:w="6804" w:type="dxa"/>
            <w:gridSpan w:val="2"/>
          </w:tcPr>
          <w:p>
            <w:pPr>
              <w:spacing w:before="120" w:after="120" w:line="240" w:lineRule="auto"/>
              <w:rPr>
                <w:rFonts w:ascii="Segoe UI" w:eastAsia="Simsun (Founder Extended)" w:hAnsi="Segoe UI" w:cs="Segoe UI"/>
                <w:sz w:val="20"/>
                <w:szCs w:val="20"/>
                <w:lang w:eastAsia="zh-CN"/>
              </w:rPr>
            </w:pPr>
          </w:p>
        </w:tc>
      </w:tr>
      <w:tr>
        <w:tc>
          <w:tcPr>
            <w:tcW w:w="7621" w:type="dxa"/>
            <w:gridSpan w:val="2"/>
            <w:tcBorders>
              <w:bottom w:val="single" w:sz="4" w:space="0" w:color="auto"/>
            </w:tcBorders>
            <w:shd w:val="clear" w:color="auto" w:fill="F2F2F2" w:themeFill="background1" w:themeFillShade="F2"/>
          </w:tcPr>
          <w:p>
            <w:pPr>
              <w:spacing w:before="120" w:after="120" w:line="240" w:lineRule="auto"/>
              <w:rPr>
                <w:rFonts w:ascii="Segoe UI" w:eastAsia="Simsun (Founder Extended)" w:hAnsi="Segoe UI" w:cs="Segoe UI"/>
                <w:sz w:val="20"/>
                <w:szCs w:val="20"/>
                <w:lang w:eastAsia="zh-CN"/>
              </w:rPr>
            </w:pPr>
            <w:r>
              <w:rPr>
                <w:rFonts w:ascii="Segoe UI" w:eastAsia="Simsun (Founder Extended)" w:hAnsi="Segoe UI" w:cs="Segoe UI"/>
                <w:sz w:val="20"/>
                <w:szCs w:val="20"/>
                <w:lang w:eastAsia="zh-CN"/>
              </w:rPr>
              <w:t xml:space="preserve">Jeste li suglasni da se ovaj obrazac, s imenom/nazivom sudionika/ce savjetovanja, objavi na internetskoj stranici nadležnog tijela? </w:t>
            </w:r>
            <w:r>
              <w:rPr>
                <w:rFonts w:ascii="Segoe UI" w:eastAsia="Simsun (Founder Extended)" w:hAnsi="Segoe UI" w:cs="Segoe UI"/>
                <w:sz w:val="20"/>
                <w:szCs w:val="20"/>
                <w:vertAlign w:val="superscript"/>
                <w:lang w:eastAsia="zh-CN"/>
              </w:rPr>
              <w:endnoteReference w:id="1"/>
            </w:r>
            <w:r>
              <w:rPr>
                <w:rFonts w:ascii="Segoe UI" w:eastAsia="Simsun (Founder Extended)" w:hAnsi="Segoe UI" w:cs="Segoe UI"/>
                <w:sz w:val="20"/>
                <w:szCs w:val="20"/>
                <w:lang w:eastAsia="zh-CN"/>
              </w:rPr>
              <w:t xml:space="preserve"> (DA - NE)</w:t>
            </w:r>
          </w:p>
        </w:tc>
        <w:tc>
          <w:tcPr>
            <w:tcW w:w="2126" w:type="dxa"/>
            <w:tcBorders>
              <w:bottom w:val="single" w:sz="4" w:space="0" w:color="auto"/>
            </w:tcBorders>
            <w:vAlign w:val="center"/>
          </w:tcPr>
          <w:p>
            <w:pPr>
              <w:spacing w:before="120" w:after="120" w:line="240" w:lineRule="auto"/>
              <w:jc w:val="center"/>
              <w:rPr>
                <w:rFonts w:ascii="Segoe UI" w:eastAsia="Simsun (Founder Extended)" w:hAnsi="Segoe UI" w:cs="Segoe UI"/>
                <w:sz w:val="20"/>
                <w:szCs w:val="20"/>
                <w:lang w:eastAsia="zh-CN"/>
              </w:rPr>
            </w:pPr>
          </w:p>
        </w:tc>
      </w:tr>
      <w:tr>
        <w:trPr>
          <w:cantSplit/>
        </w:trPr>
        <w:tc>
          <w:tcPr>
            <w:tcW w:w="9747" w:type="dxa"/>
            <w:gridSpan w:val="3"/>
            <w:tcBorders>
              <w:top w:val="nil"/>
              <w:left w:val="nil"/>
              <w:bottom w:val="nil"/>
              <w:right w:val="nil"/>
            </w:tcBorders>
            <w:shd w:val="clear" w:color="auto" w:fill="auto"/>
            <w:vAlign w:val="center"/>
          </w:tcPr>
          <w:p>
            <w:pPr>
              <w:spacing w:before="160" w:line="192" w:lineRule="auto"/>
              <w:jc w:val="center"/>
              <w:rPr>
                <w:rFonts w:ascii="Segoe UI" w:hAnsi="Segoe UI" w:cs="Segoe UI"/>
                <w:sz w:val="20"/>
                <w:szCs w:val="20"/>
              </w:rPr>
            </w:pPr>
            <w:r>
              <w:rPr>
                <w:rFonts w:ascii="Segoe UI" w:hAnsi="Segoe UI" w:cs="Segoe UI"/>
                <w:sz w:val="20"/>
                <w:szCs w:val="20"/>
              </w:rPr>
              <w:t xml:space="preserve">Popunjeni obrazac dostaviti na adresu: </w:t>
            </w:r>
            <w:r>
              <w:rPr>
                <w:rFonts w:ascii="Segoe UI" w:hAnsi="Segoe UI" w:cs="Segoe UI"/>
                <w:b/>
                <w:sz w:val="20"/>
                <w:szCs w:val="20"/>
              </w:rPr>
              <w:t>Općina Bilice, Bosuć 2A, 22 000 Šibenik</w:t>
            </w:r>
          </w:p>
          <w:p>
            <w:pPr>
              <w:spacing w:before="160" w:line="192" w:lineRule="auto"/>
              <w:jc w:val="center"/>
              <w:rPr>
                <w:rFonts w:ascii="Segoe UI" w:hAnsi="Segoe UI" w:cs="Segoe UI"/>
                <w:sz w:val="20"/>
                <w:szCs w:val="20"/>
              </w:rPr>
            </w:pPr>
            <w:r>
              <w:rPr>
                <w:rFonts w:ascii="Segoe UI" w:hAnsi="Segoe UI" w:cs="Segoe UI"/>
                <w:sz w:val="20"/>
                <w:szCs w:val="20"/>
              </w:rPr>
              <w:t xml:space="preserve">ili na e-mail </w:t>
            </w:r>
            <w:hyperlink r:id="rId6" w:history="1">
              <w:r>
                <w:rPr>
                  <w:rFonts w:ascii="Segoe UI" w:hAnsi="Segoe UI" w:cs="Segoe UI"/>
                  <w:b/>
                  <w:bCs/>
                  <w:color w:val="0563C1" w:themeColor="hyperlink"/>
                  <w:sz w:val="20"/>
                  <w:szCs w:val="20"/>
                  <w:u w:val="single"/>
                </w:rPr>
                <w:t>info@opcina-bilice.hr</w:t>
              </w:r>
            </w:hyperlink>
            <w:r>
              <w:rPr>
                <w:rFonts w:ascii="Segoe UI" w:hAnsi="Segoe UI" w:cs="Segoe UI"/>
                <w:b/>
                <w:bCs/>
                <w:sz w:val="20"/>
                <w:szCs w:val="20"/>
              </w:rPr>
              <w:t xml:space="preserve"> </w:t>
            </w:r>
          </w:p>
          <w:p>
            <w:pPr>
              <w:spacing w:before="160" w:line="192" w:lineRule="auto"/>
              <w:jc w:val="center"/>
              <w:rPr>
                <w:rFonts w:ascii="Segoe UI" w:hAnsi="Segoe UI" w:cs="Segoe UI"/>
                <w:b/>
                <w:sz w:val="20"/>
                <w:szCs w:val="20"/>
              </w:rPr>
            </w:pPr>
            <w:r>
              <w:rPr>
                <w:rFonts w:ascii="Segoe UI" w:hAnsi="Segoe UI" w:cs="Segoe UI"/>
                <w:b/>
                <w:sz w:val="20"/>
                <w:szCs w:val="20"/>
              </w:rPr>
              <w:t>zaključno s datumom 13. kolovoza 2026.</w:t>
            </w:r>
          </w:p>
        </w:tc>
      </w:tr>
    </w:tbl>
    <w:p>
      <w:bookmarkStart w:id="0" w:name="_GoBack"/>
      <w:bookmarkEnd w:id="0"/>
    </w:p>
    <w:sect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 w:id="1">
    <w:p>
      <w:pPr>
        <w:pStyle w:val="Tekstkrajnjebiljeke"/>
        <w:jc w:val="both"/>
        <w:rPr>
          <w:rFonts w:cs="Arial"/>
          <w:sz w:val="18"/>
          <w:szCs w:val="18"/>
        </w:rPr>
      </w:pPr>
      <w:r>
        <w:rPr>
          <w:rStyle w:val="Referencakrajnjebiljeke"/>
          <w:sz w:val="18"/>
          <w:szCs w:val="18"/>
        </w:rPr>
        <w:endnoteRef/>
      </w:r>
      <w:r>
        <w:rPr>
          <w:rFonts w:cs="Arial"/>
          <w:sz w:val="18"/>
          <w:szCs w:val="18"/>
        </w:rPr>
        <w:t xml:space="preserve">U skladu s Uredbom (EU) 2016/679 Europskog parlamenta i Vijeća od 27. travnja 2016. o zaštiti pojedinaca u svezi s obradom osobnih podataka i o slobodnom kretanju takvih podataka te o stavljanju izvan snage Direktive 95/46/EZ (Opća uredba o zaštiti podataka) SL EU L119, osobni podaci neće se koristiti u druge svrhe, osim u povijesne, statističke ili znanstvene svrhe, uz uvjet poduzimanja odgovarajućih zaštitnih mjera.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Founder Extended)">
    <w:altName w:val="Arial Unicode MS"/>
    <w:charset w:val="86"/>
    <w:family w:val="script"/>
    <w:pitch w:val="fixed"/>
    <w:sig w:usb0="00000000" w:usb1="080E0000" w:usb2="00000010" w:usb3="00000000" w:csb0="0004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0916F4-37D7-4D01-BCF0-AE9C786ED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pPr>
      <w:spacing w:after="0" w:line="240" w:lineRule="auto"/>
    </w:pPr>
    <w:rPr>
      <w:rFonts w:ascii="Arial" w:eastAsia="Times New Roman" w:hAnsi="Arial" w:cs="Arial"/>
      <w:b/>
      <w:sz w:val="24"/>
      <w:szCs w:val="24"/>
    </w:rPr>
  </w:style>
  <w:style w:type="character" w:customStyle="1" w:styleId="TijelotekstaChar">
    <w:name w:val="Tijelo teksta Char"/>
    <w:basedOn w:val="Zadanifontodlomka"/>
    <w:link w:val="Tijeloteksta"/>
    <w:rPr>
      <w:rFonts w:ascii="Arial" w:eastAsia="Times New Roman" w:hAnsi="Arial" w:cs="Arial"/>
      <w:b/>
      <w:sz w:val="24"/>
      <w:szCs w:val="24"/>
    </w:rPr>
  </w:style>
  <w:style w:type="paragraph" w:styleId="Tekstkrajnjebiljeke">
    <w:name w:val="endnote text"/>
    <w:basedOn w:val="Normal"/>
    <w:link w:val="TekstkrajnjebiljekeChar"/>
    <w:uiPriority w:val="99"/>
    <w:semiHidden/>
    <w:unhideWhenUsed/>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Pr>
      <w:sz w:val="20"/>
      <w:szCs w:val="20"/>
    </w:rPr>
  </w:style>
  <w:style w:type="character" w:styleId="Referencakrajnjebiljeke">
    <w:name w:val="endnote reference"/>
    <w:basedOn w:val="Zadanifontodlomka"/>
    <w:uiPriority w:val="99"/>
    <w:semiHidden/>
    <w:unhideWhenUsed/>
    <w:rPr>
      <w:vertAlign w:val="superscript"/>
    </w:rPr>
  </w:style>
  <w:style w:type="paragraph" w:styleId="Bezproreda">
    <w:name w:val="No Spacing"/>
    <w:uiPriority w:val="1"/>
    <w:qFormat/>
    <w:pPr>
      <w:suppressAutoHyphens/>
      <w:autoSpaceDN w:val="0"/>
      <w:spacing w:after="0" w:line="240" w:lineRule="auto"/>
    </w:pPr>
    <w:rPr>
      <w:rFonts w:ascii="Calibri" w:eastAsia="Times New Roman" w:hAnsi="Calibri" w:cs="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819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opcina-bilice.hr"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336</Words>
  <Characters>1919</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Microsoftov račun</cp:lastModifiedBy>
  <cp:revision>2</cp:revision>
  <dcterms:created xsi:type="dcterms:W3CDTF">2025-10-31T12:03:00Z</dcterms:created>
  <dcterms:modified xsi:type="dcterms:W3CDTF">2026-07-13T08:01:00Z</dcterms:modified>
</cp:coreProperties>
</file>